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eastAsia="Times New Roman" w:cs="Times New Roman" w:ascii="Times New Roman" w:hAnsi="Times New Roman"/>
          <w:b/>
          <w:sz w:val="24"/>
          <w:szCs w:val="24"/>
        </w:rPr>
        <w:t>нализ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основного государственного экзамена</w:t>
      </w:r>
    </w:p>
    <w:p>
      <w:pPr>
        <w:pStyle w:val="Normal"/>
        <w:spacing w:lineRule="auto" w:line="259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по русскому языку выпускников 9 класса 2018-2019 учебного года</w:t>
      </w:r>
    </w:p>
    <w:p>
      <w:pPr>
        <w:pStyle w:val="Normal"/>
        <w:spacing w:lineRule="auto" w:line="259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Цель</w:t>
      </w:r>
      <w:r>
        <w:rPr>
          <w:rFonts w:eastAsia="Times New Roman" w:cs="Times New Roman" w:ascii="Times New Roman" w:hAnsi="Times New Roman"/>
          <w:sz w:val="24"/>
          <w:szCs w:val="24"/>
        </w:rPr>
        <w:t>:  оценить уровень общей подготовки выпускников по русскому языку за уровень основного общего образования.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Содержание работы определялось на основе </w:t>
      </w:r>
      <w:r>
        <w:rPr>
          <w:rFonts w:eastAsia="Times New Roman" w:cs="Times New Roman" w:ascii="Times New Roman" w:hAnsi="Times New Roman"/>
          <w:sz w:val="24"/>
          <w:szCs w:val="24"/>
        </w:rPr>
        <w:t>Федерального компонента государственного стандарта основного общего образования по русскому языку (приказ Минобразования России от 05.03.2004 № 1089 «Об утверждении Федерального компонента государственных стандартов начального общего, основного общего и среднего (полного) общего образования»).</w:t>
      </w:r>
    </w:p>
    <w:p>
      <w:pPr>
        <w:pStyle w:val="Normal"/>
        <w:spacing w:lineRule="auto" w:line="254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На выполнение заданий учащимся отводилось 235 минут.</w:t>
      </w:r>
    </w:p>
    <w:tbl>
      <w:tblPr>
        <w:tblW w:w="9366" w:type="dxa"/>
        <w:jc w:val="left"/>
        <w:tblInd w:w="1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22"/>
        <w:gridCol w:w="1558"/>
        <w:gridCol w:w="727"/>
        <w:gridCol w:w="2120"/>
        <w:gridCol w:w="829"/>
        <w:gridCol w:w="2458"/>
        <w:gridCol w:w="851"/>
      </w:tblGrid>
      <w:tr>
        <w:trPr>
          <w:trHeight w:val="291" w:hRule="atLeast"/>
        </w:trPr>
        <w:tc>
          <w:tcPr>
            <w:tcW w:w="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4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Учитель</w:t>
            </w:r>
          </w:p>
        </w:tc>
        <w:tc>
          <w:tcPr>
            <w:tcW w:w="4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left w:w="10" w:type="dxa"/>
              <w:right w:w="1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Учащихся</w:t>
            </w:r>
          </w:p>
        </w:tc>
      </w:tr>
      <w:tr>
        <w:trPr>
          <w:trHeight w:val="385" w:hRule="atLeast"/>
        </w:trPr>
        <w:tc>
          <w:tcPr>
            <w:tcW w:w="8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7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кате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го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рия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курсы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u w:val="single"/>
              </w:rPr>
              <w:t xml:space="preserve">по ОГЭ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 спис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3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выполняло</w:t>
            </w:r>
          </w:p>
        </w:tc>
      </w:tr>
      <w:tr>
        <w:trPr>
          <w:trHeight w:val="619" w:hRule="atLeast"/>
        </w:trPr>
        <w:tc>
          <w:tcPr>
            <w:tcW w:w="8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2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уч-ся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%</w:t>
            </w:r>
          </w:p>
        </w:tc>
      </w:tr>
      <w:tr>
        <w:trPr>
          <w:trHeight w:val="324" w:hRule="atLeast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9аб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Фиронова Е.С.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Подготовка экспертов территориальных представительств региональных предметных комиссий. (24 час.) 2017г. 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34 (ОГЭ)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 (ГВЭ)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100</w:t>
            </w:r>
          </w:p>
        </w:tc>
      </w:tr>
    </w:tbl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Учебник</w:t>
      </w:r>
      <w:r>
        <w:rPr>
          <w:rFonts w:cs="Times New Roman" w:ascii="Times New Roman" w:hAnsi="Times New Roman"/>
          <w:sz w:val="24"/>
          <w:szCs w:val="24"/>
        </w:rPr>
        <w:t>:  Русский язык: Учеб. Для 9 кл. общеобразоват. учреждений/ М.М.Разумовская, С.И. Львова, В.И. Капинос, В.В. Львов; под. ред. М.М.Разумовской, П.А. Леканта. – 6-е изд., стереотип. – М.: Дрофа, 2004. – 272 с.: ил., 8л. цв. вкл.</w:t>
      </w:r>
    </w:p>
    <w:p>
      <w:pPr>
        <w:pStyle w:val="Normal"/>
        <w:spacing w:before="0" w:after="20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Количество часов в неделю </w:t>
      </w:r>
      <w:r>
        <w:rPr>
          <w:rFonts w:cs="Times New Roman" w:ascii="Times New Roman" w:hAnsi="Times New Roman"/>
          <w:sz w:val="24"/>
          <w:szCs w:val="24"/>
        </w:rPr>
        <w:t>–  3.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Характеристика структуры и содержания КИМ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</w:rPr>
        <w:t>Каждый вариант КИМ состоял из трёх частей: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Задание 1 – сжатое изложение.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Задания 2–13 – задания с кратким ответом.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Задание 15- сочинение-рассуждение.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работе предложены следующие разновидности заданий с кратким ответом:</w:t>
      </w:r>
    </w:p>
    <w:tbl>
      <w:tblPr>
        <w:tblW w:w="9473" w:type="dxa"/>
        <w:jc w:val="left"/>
        <w:tblInd w:w="1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95"/>
        <w:gridCol w:w="1983"/>
        <w:gridCol w:w="2410"/>
        <w:gridCol w:w="3084"/>
      </w:tblGrid>
      <w:tr>
        <w:trPr>
          <w:trHeight w:val="1" w:hRule="atLeast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Задания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Количество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заданий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Максимальный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первичный балл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Типы заданий</w:t>
            </w:r>
          </w:p>
        </w:tc>
      </w:tr>
      <w:tr>
        <w:trPr>
          <w:trHeight w:val="333" w:hRule="atLeast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Задание 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Сжатое изложение</w:t>
            </w:r>
          </w:p>
        </w:tc>
      </w:tr>
      <w:tr>
        <w:trPr>
          <w:trHeight w:val="206" w:hRule="atLeast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59" w:before="0" w:after="16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Задания 2-14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Задания с кратким ответом</w:t>
            </w:r>
          </w:p>
        </w:tc>
      </w:tr>
      <w:tr>
        <w:trPr>
          <w:trHeight w:val="556" w:hRule="atLeast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59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Задание 15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 (1 на выбор)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Задание с развёрнутым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ответом</w:t>
            </w:r>
          </w:p>
        </w:tc>
      </w:tr>
      <w:tr>
        <w:trPr>
          <w:trHeight w:val="305" w:hRule="atLeast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59" w:before="0" w:after="16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Грамотность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1" w:hRule="atLeast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39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                                                         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Выполнение задания 1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При выполнении  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 xml:space="preserve">задания 1 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учащимся  предлагалось написать сжатое изложение.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Результаты:</w:t>
      </w:r>
    </w:p>
    <w:tbl>
      <w:tblPr>
        <w:tblW w:w="9582" w:type="dxa"/>
        <w:jc w:val="left"/>
        <w:tblInd w:w="93" w:type="dxa"/>
        <w:tblLayout w:type="fixed"/>
        <w:tblCellMar>
          <w:top w:w="0" w:type="dxa"/>
          <w:left w:w="1" w:type="dxa"/>
          <w:bottom w:w="0" w:type="dxa"/>
          <w:right w:w="0" w:type="dxa"/>
        </w:tblCellMar>
        <w:tblLook w:val="0000"/>
      </w:tblPr>
      <w:tblGrid>
        <w:gridCol w:w="1750"/>
        <w:gridCol w:w="852"/>
        <w:gridCol w:w="850"/>
        <w:gridCol w:w="992"/>
        <w:gridCol w:w="851"/>
        <w:gridCol w:w="991"/>
        <w:gridCol w:w="993"/>
        <w:gridCol w:w="1133"/>
        <w:gridCol w:w="1169"/>
      </w:tblGrid>
      <w:tr>
        <w:trPr>
          <w:trHeight w:val="23" w:hRule="atLeast"/>
        </w:trPr>
        <w:tc>
          <w:tcPr>
            <w:tcW w:w="17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Критерии</w:t>
            </w:r>
          </w:p>
        </w:tc>
        <w:tc>
          <w:tcPr>
            <w:tcW w:w="783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Баллы</w:t>
            </w:r>
          </w:p>
        </w:tc>
      </w:tr>
      <w:tr>
        <w:trPr>
          <w:trHeight w:val="225" w:hRule="atLeast"/>
        </w:trPr>
        <w:tc>
          <w:tcPr>
            <w:tcW w:w="175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>
          <w:trHeight w:val="431" w:hRule="atLeast"/>
        </w:trPr>
        <w:tc>
          <w:tcPr>
            <w:tcW w:w="175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%</w:t>
            </w:r>
          </w:p>
        </w:tc>
      </w:tr>
      <w:tr>
        <w:trPr>
          <w:trHeight w:val="285" w:hRule="atLeast"/>
        </w:trPr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ИК1 (2б.)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82%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12%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6%</w:t>
            </w:r>
          </w:p>
        </w:tc>
      </w:tr>
      <w:tr>
        <w:trPr>
          <w:trHeight w:val="345" w:hRule="atLeast"/>
        </w:trPr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ИК2 (3б.)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76%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3%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6%</w:t>
            </w:r>
          </w:p>
        </w:tc>
      </w:tr>
      <w:tr>
        <w:trPr>
          <w:trHeight w:val="435" w:hRule="atLeast"/>
        </w:trPr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ИК3 (2б.)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82%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6%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12%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rPr/>
      </w:pPr>
      <w:r>
        <w:rPr>
          <w:b/>
          <w:bCs/>
        </w:rPr>
        <w:t>Результаты выполнения заданий сжатого изложения: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rPr/>
      </w:pPr>
      <w:r>
        <w:rPr/>
        <w:t>- осознанное понимание текста (изложение) – 94%;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rPr/>
      </w:pPr>
      <w:r>
        <w:rPr/>
        <w:t>- наличие сжатия текста – 94%;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rPr/>
      </w:pPr>
      <w:r>
        <w:rPr/>
        <w:t>- смысловая цельность, речевая связанность и последовательность изложения – 88%.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Качество выполнения задания 1 (по критериям ИК1, ИК2,  ИК3):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tbl>
      <w:tblPr>
        <w:tblW w:w="9547" w:type="dxa"/>
        <w:jc w:val="left"/>
        <w:tblInd w:w="93" w:type="dxa"/>
        <w:tblLayout w:type="fixed"/>
        <w:tblCellMar>
          <w:top w:w="0" w:type="dxa"/>
          <w:left w:w="1" w:type="dxa"/>
          <w:bottom w:w="0" w:type="dxa"/>
          <w:right w:w="5" w:type="dxa"/>
        </w:tblCellMar>
        <w:tblLook w:val="0000"/>
      </w:tblPr>
      <w:tblGrid>
        <w:gridCol w:w="1133"/>
        <w:gridCol w:w="1042"/>
        <w:gridCol w:w="1134"/>
        <w:gridCol w:w="1277"/>
        <w:gridCol w:w="1133"/>
        <w:gridCol w:w="1277"/>
        <w:gridCol w:w="1276"/>
        <w:gridCol w:w="1273"/>
      </w:tblGrid>
      <w:tr>
        <w:trPr>
          <w:trHeight w:val="23" w:hRule="atLeast"/>
        </w:trPr>
        <w:tc>
          <w:tcPr>
            <w:tcW w:w="954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Уровень</w:t>
            </w:r>
          </w:p>
        </w:tc>
      </w:tr>
      <w:tr>
        <w:trPr>
          <w:trHeight w:val="23" w:hRule="atLeast"/>
        </w:trPr>
        <w:tc>
          <w:tcPr>
            <w:tcW w:w="21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расширенный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 CYR" w:hAnsi="Times New Roman CYR"/>
              </w:rPr>
            </w:pP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(7 </w:t>
            </w:r>
            <w:r>
              <w:rPr>
                <w:rFonts w:ascii="Times New Roman CYR" w:hAnsi="Times New Roman CYR"/>
              </w:rPr>
              <w:t>б.)</w:t>
            </w:r>
          </w:p>
        </w:tc>
        <w:tc>
          <w:tcPr>
            <w:tcW w:w="24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оптимальный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 CYR" w:hAnsi="Times New Roman CYR"/>
              </w:rPr>
            </w:pP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(6-5</w:t>
            </w:r>
            <w:r>
              <w:rPr>
                <w:rFonts w:ascii="Times New Roman CYR" w:hAnsi="Times New Roman CYR"/>
              </w:rPr>
              <w:t>б.)</w:t>
            </w: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базовый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 xml:space="preserve">(4 </w:t>
            </w:r>
            <w:r>
              <w:rPr>
                <w:rFonts w:cs="Times New Roman" w:ascii="Times New Roman" w:hAnsi="Times New Roman"/>
              </w:rPr>
              <w:t>б.)</w:t>
            </w:r>
          </w:p>
        </w:tc>
        <w:tc>
          <w:tcPr>
            <w:tcW w:w="2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ниже стандарта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>(3-0</w:t>
            </w:r>
            <w:r>
              <w:rPr>
                <w:rFonts w:cs="Times New Roman" w:ascii="Times New Roman" w:hAnsi="Times New Roman"/>
              </w:rPr>
              <w:t>б.)</w:t>
            </w:r>
          </w:p>
        </w:tc>
      </w:tr>
      <w:tr>
        <w:trPr>
          <w:trHeight w:val="23" w:hRule="atLeast"/>
        </w:trPr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кол-во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кол-во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</w:tr>
      <w:tr>
        <w:trPr>
          <w:trHeight w:val="390" w:hRule="atLeast"/>
        </w:trPr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73,5%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12%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3%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12%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На уровне стандарта по критерию «Содержание» с работой справились 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30 чел.,   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Качество знаний  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30 чел.,   88%.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Не справились 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4 чел.,   12%.</w:t>
      </w:r>
    </w:p>
    <w:p>
      <w:pPr>
        <w:pStyle w:val="NormalWeb"/>
        <w:spacing w:before="280" w:after="280"/>
        <w:jc w:val="both"/>
        <w:rPr/>
      </w:pPr>
      <w:r>
        <w:rPr>
          <w:b/>
          <w:bCs/>
        </w:rPr>
        <w:t xml:space="preserve">ИК1. </w:t>
      </w:r>
      <w:r>
        <w:rPr/>
        <w:t>Передать основное содержание прослушанного текста, отразив все важные для его восприятия микротемы, смогли 28 учеников (82%), 4 ученика (12%) получили за данный критерий по 1 баллу, т. к. пропуск отдельных авторских мыслей вел их к ошибкам при передаче основной информации; 0 баллов получили 2 ученика (6%), не передав основное содержание прослушанного текста.</w:t>
      </w:r>
    </w:p>
    <w:p>
      <w:pPr>
        <w:pStyle w:val="NormalWeb"/>
        <w:spacing w:before="280" w:after="280"/>
        <w:jc w:val="both"/>
        <w:rPr/>
      </w:pPr>
      <w:r>
        <w:rPr>
          <w:b/>
          <w:bCs/>
        </w:rPr>
        <w:t>ИК2.</w:t>
      </w:r>
      <w:r>
        <w:rPr/>
        <w:t xml:space="preserve"> Максимальный балл за сжатие исходного текста получили 26 учеников (76%); 2 балла – 5 учеников (15%); 1 балл – 1 (3%); 0 баллов получили 2 (6%) ученика. Среди типичных ошибок по данному критерию можно отметить недостаточное владение критериями выделения главной и второстепенной информации текста. Затруднения у ребят при написании сжатого изложения были связаны с правильным применением приемов сжатия текста.</w:t>
      </w:r>
    </w:p>
    <w:p>
      <w:pPr>
        <w:pStyle w:val="NormalWeb"/>
        <w:spacing w:before="280" w:after="280"/>
        <w:jc w:val="both"/>
        <w:rPr/>
      </w:pPr>
      <w:r>
        <w:rPr/>
        <w:t> </w:t>
      </w:r>
      <w:r>
        <w:rPr>
          <w:b/>
          <w:bCs/>
        </w:rPr>
        <w:t>ИК3.</w:t>
      </w:r>
      <w:r>
        <w:rPr/>
        <w:t> По данному критерию 2 балла получили 28 учеников (82%); 2 (6%) - по 1 баллу из 2-х возможных; 0 баллов у 4 учеников (12%). В работах ребят нарушалась логика. Ошибки связаны с неумением использовать необходимые средства связи предложений в тексте при исключении фрагментов исходного текста. Одна из ошибок – нарушение абзацного членения текста.</w:t>
      </w:r>
    </w:p>
    <w:p>
      <w:pPr>
        <w:pStyle w:val="NormalWeb"/>
        <w:spacing w:before="280" w:after="280"/>
        <w:jc w:val="both"/>
        <w:rPr/>
      </w:pPr>
      <w:r>
        <w:rPr/>
        <w:t xml:space="preserve">    </w:t>
      </w:r>
      <w:r>
        <w:rPr/>
        <w:t xml:space="preserve">Анализ полученных результатов позволяет сделать </w:t>
      </w:r>
      <w:r>
        <w:rPr>
          <w:b/>
        </w:rPr>
        <w:t>вывод,</w:t>
      </w:r>
      <w:r>
        <w:rPr/>
        <w:t xml:space="preserve"> что обучающиеся осознанно воспринимают замысел автора, умеют выделить основные микротемы, связно и последовательно изложить прослушанную информацию.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Выполнение задания 15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При выполнении  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 xml:space="preserve">задания №15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учащимся  предлагалось написать сочинение-рассуждение по выбору.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Результаты: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tbl>
      <w:tblPr>
        <w:tblW w:w="9646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34"/>
        <w:gridCol w:w="1007"/>
        <w:gridCol w:w="1071"/>
        <w:gridCol w:w="1070"/>
        <w:gridCol w:w="1071"/>
        <w:gridCol w:w="1072"/>
        <w:gridCol w:w="1070"/>
        <w:gridCol w:w="1071"/>
        <w:gridCol w:w="1079"/>
      </w:tblGrid>
      <w:tr>
        <w:trPr/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rPr/>
            </w:pPr>
            <w:r>
              <w:rPr/>
              <w:t>Критерии</w:t>
            </w:r>
          </w:p>
        </w:tc>
        <w:tc>
          <w:tcPr>
            <w:tcW w:w="851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Баллы</w:t>
            </w:r>
          </w:p>
        </w:tc>
      </w:tr>
      <w:tr>
        <w:trPr/>
        <w:tc>
          <w:tcPr>
            <w:tcW w:w="11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2078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141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142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15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>
        <w:trPr/>
        <w:tc>
          <w:tcPr>
            <w:tcW w:w="11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кол-во</w:t>
            </w:r>
          </w:p>
        </w:tc>
        <w:tc>
          <w:tcPr>
            <w:tcW w:w="10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%</w:t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кол-во</w:t>
            </w:r>
          </w:p>
        </w:tc>
        <w:tc>
          <w:tcPr>
            <w:tcW w:w="10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%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кол-во</w:t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%</w:t>
            </w:r>
          </w:p>
        </w:tc>
        <w:tc>
          <w:tcPr>
            <w:tcW w:w="10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кол-во</w:t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%</w:t>
            </w:r>
          </w:p>
        </w:tc>
      </w:tr>
      <w:tr>
        <w:trPr/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rPr/>
            </w:pPr>
            <w:r>
              <w:rPr/>
              <w:t>СК1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0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29</w:t>
            </w:r>
          </w:p>
        </w:tc>
        <w:tc>
          <w:tcPr>
            <w:tcW w:w="10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85%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5</w:t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15%</w:t>
            </w:r>
          </w:p>
        </w:tc>
        <w:tc>
          <w:tcPr>
            <w:tcW w:w="10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rPr/>
            </w:pPr>
            <w:r>
              <w:rPr/>
              <w:t>СК2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25</w:t>
            </w:r>
          </w:p>
        </w:tc>
        <w:tc>
          <w:tcPr>
            <w:tcW w:w="10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73,5</w:t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7</w:t>
            </w:r>
          </w:p>
        </w:tc>
        <w:tc>
          <w:tcPr>
            <w:tcW w:w="10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20,5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2</w:t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6%</w:t>
            </w:r>
          </w:p>
        </w:tc>
        <w:tc>
          <w:tcPr>
            <w:tcW w:w="10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rPr/>
            </w:pPr>
            <w:r>
              <w:rPr/>
              <w:t>СК3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0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25</w:t>
            </w:r>
          </w:p>
        </w:tc>
        <w:tc>
          <w:tcPr>
            <w:tcW w:w="10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73,5%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9</w:t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26,5%</w:t>
            </w:r>
          </w:p>
        </w:tc>
        <w:tc>
          <w:tcPr>
            <w:tcW w:w="10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rPr/>
            </w:pPr>
            <w:r>
              <w:rPr/>
              <w:t>СК4</w:t>
            </w:r>
          </w:p>
        </w:tc>
        <w:tc>
          <w:tcPr>
            <w:tcW w:w="10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0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33</w:t>
            </w:r>
          </w:p>
        </w:tc>
        <w:tc>
          <w:tcPr>
            <w:tcW w:w="10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97%</w:t>
            </w:r>
          </w:p>
        </w:tc>
        <w:tc>
          <w:tcPr>
            <w:tcW w:w="10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1</w:t>
            </w:r>
          </w:p>
        </w:tc>
        <w:tc>
          <w:tcPr>
            <w:tcW w:w="10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3%</w:t>
            </w:r>
          </w:p>
        </w:tc>
        <w:tc>
          <w:tcPr>
            <w:tcW w:w="10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0</w:t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Качество выполнения задания 15 (сочинение-рассуждение: 15.1, 15.2, 15.3)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</w:r>
    </w:p>
    <w:tbl>
      <w:tblPr>
        <w:tblW w:w="9547" w:type="dxa"/>
        <w:jc w:val="left"/>
        <w:tblInd w:w="93" w:type="dxa"/>
        <w:tblLayout w:type="fixed"/>
        <w:tblCellMar>
          <w:top w:w="0" w:type="dxa"/>
          <w:left w:w="1" w:type="dxa"/>
          <w:bottom w:w="0" w:type="dxa"/>
          <w:right w:w="5" w:type="dxa"/>
        </w:tblCellMar>
        <w:tblLook w:val="0000"/>
      </w:tblPr>
      <w:tblGrid>
        <w:gridCol w:w="983"/>
        <w:gridCol w:w="967"/>
        <w:gridCol w:w="1218"/>
        <w:gridCol w:w="1031"/>
        <w:gridCol w:w="1379"/>
        <w:gridCol w:w="1275"/>
        <w:gridCol w:w="1559"/>
        <w:gridCol w:w="1133"/>
      </w:tblGrid>
      <w:tr>
        <w:trPr>
          <w:trHeight w:val="23" w:hRule="atLeast"/>
        </w:trPr>
        <w:tc>
          <w:tcPr>
            <w:tcW w:w="954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Уровень</w:t>
            </w:r>
          </w:p>
        </w:tc>
      </w:tr>
      <w:tr>
        <w:trPr>
          <w:trHeight w:val="23" w:hRule="atLeast"/>
        </w:trPr>
        <w:tc>
          <w:tcPr>
            <w:tcW w:w="19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расширенный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 xml:space="preserve">(9-8 </w:t>
            </w:r>
            <w:r>
              <w:rPr>
                <w:rFonts w:cs="Times New Roman" w:ascii="Times New Roman" w:hAnsi="Times New Roman"/>
              </w:rPr>
              <w:t>б.)</w:t>
            </w:r>
          </w:p>
        </w:tc>
        <w:tc>
          <w:tcPr>
            <w:tcW w:w="22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оптимальный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>(7- 6</w:t>
            </w:r>
            <w:r>
              <w:rPr>
                <w:rFonts w:cs="Times New Roman" w:ascii="Times New Roman" w:hAnsi="Times New Roman"/>
              </w:rPr>
              <w:t>б.)</w:t>
            </w:r>
          </w:p>
        </w:tc>
        <w:tc>
          <w:tcPr>
            <w:tcW w:w="26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базовый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( 5</w:t>
            </w:r>
            <w:r>
              <w:rPr>
                <w:rFonts w:cs="Times New Roman" w:ascii="Times New Roman" w:hAnsi="Times New Roman"/>
              </w:rPr>
              <w:t>б.)</w:t>
            </w:r>
          </w:p>
        </w:tc>
        <w:tc>
          <w:tcPr>
            <w:tcW w:w="2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ниже стандарта  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(4-0 </w:t>
            </w:r>
            <w:r>
              <w:rPr>
                <w:rFonts w:cs="Times New Roman" w:ascii="Times New Roman" w:hAnsi="Times New Roman"/>
              </w:rPr>
              <w:t>б.)</w:t>
            </w:r>
          </w:p>
        </w:tc>
      </w:tr>
      <w:tr>
        <w:trPr>
          <w:trHeight w:val="23" w:hRule="atLeast"/>
        </w:trPr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</w:tr>
      <w:tr>
        <w:trPr>
          <w:trHeight w:val="23" w:hRule="atLeast"/>
        </w:trPr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</w:t>
            </w: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76%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1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24%</w:t>
            </w:r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На уровне  стандарта: 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34 чел.,   100%. 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Качество знаний:  34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чел.,    100%.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Не справились:  0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чел.,   ______ %.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Итоги данной работы показали, что 100% выпускников на </w:t>
      </w:r>
      <w:r>
        <w:rPr>
          <w:rFonts w:cs="Times New Roman" w:ascii="Times New Roman" w:hAnsi="Times New Roman"/>
          <w:b/>
          <w:sz w:val="24"/>
          <w:szCs w:val="24"/>
        </w:rPr>
        <w:t>высоком уровне</w:t>
      </w:r>
      <w:r>
        <w:rPr>
          <w:rFonts w:cs="Times New Roman" w:ascii="Times New Roman" w:hAnsi="Times New Roman"/>
          <w:sz w:val="24"/>
          <w:szCs w:val="24"/>
        </w:rPr>
        <w:t xml:space="preserve"> умеют работать с прочитанным текстом, хорошо умеют его интерпретировать, умеют составлять тип речи – рассуждение, удачно приводят аргументы, делают соответствующие выводы.</w:t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Результаты практической грамотности и фактической точности письменной речи следующие:</w:t>
      </w:r>
    </w:p>
    <w:tbl>
      <w:tblPr>
        <w:tblW w:w="9583" w:type="dxa"/>
        <w:jc w:val="left"/>
        <w:tblInd w:w="93" w:type="dxa"/>
        <w:tblLayout w:type="fixed"/>
        <w:tblCellMar>
          <w:top w:w="0" w:type="dxa"/>
          <w:left w:w="1" w:type="dxa"/>
          <w:bottom w:w="0" w:type="dxa"/>
          <w:right w:w="0" w:type="dxa"/>
        </w:tblCellMar>
        <w:tblLook w:val="0000"/>
      </w:tblPr>
      <w:tblGrid>
        <w:gridCol w:w="2715"/>
        <w:gridCol w:w="1135"/>
        <w:gridCol w:w="999"/>
        <w:gridCol w:w="1200"/>
        <w:gridCol w:w="1251"/>
        <w:gridCol w:w="1049"/>
        <w:gridCol w:w="1233"/>
      </w:tblGrid>
      <w:tr>
        <w:trPr>
          <w:trHeight w:val="276" w:hRule="atLeast"/>
        </w:trPr>
        <w:tc>
          <w:tcPr>
            <w:tcW w:w="27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Критерий</w:t>
            </w:r>
          </w:p>
        </w:tc>
        <w:tc>
          <w:tcPr>
            <w:tcW w:w="686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Баллы</w:t>
            </w:r>
          </w:p>
        </w:tc>
      </w:tr>
      <w:tr>
        <w:trPr>
          <w:trHeight w:val="23" w:hRule="atLeast"/>
        </w:trPr>
        <w:tc>
          <w:tcPr>
            <w:tcW w:w="27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24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0</w:t>
            </w:r>
          </w:p>
        </w:tc>
      </w:tr>
      <w:tr>
        <w:trPr>
          <w:trHeight w:val="23" w:hRule="atLeast"/>
        </w:trPr>
        <w:tc>
          <w:tcPr>
            <w:tcW w:w="27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</w:tr>
      <w:tr>
        <w:trPr>
          <w:trHeight w:val="225" w:hRule="atLeast"/>
        </w:trPr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ГК1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32%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17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50%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18%</w:t>
            </w:r>
          </w:p>
        </w:tc>
      </w:tr>
      <w:tr>
        <w:trPr>
          <w:trHeight w:val="225" w:hRule="atLeast"/>
        </w:trPr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ГК2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26,5%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12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35,5%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13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38%</w:t>
            </w:r>
          </w:p>
        </w:tc>
      </w:tr>
      <w:tr>
        <w:trPr>
          <w:trHeight w:val="255" w:hRule="atLeast"/>
        </w:trPr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ГК3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18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53%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26,5%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20,5%</w:t>
            </w:r>
          </w:p>
        </w:tc>
      </w:tr>
      <w:tr>
        <w:trPr>
          <w:trHeight w:val="285" w:hRule="atLeast"/>
        </w:trPr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ГК4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24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70,5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29,5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225" w:hRule="atLeast"/>
        </w:trPr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ФК1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28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82%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18%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0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Качество выполнения работ по критериям ГК1 – ГК4, ФК1:</w:t>
      </w:r>
    </w:p>
    <w:tbl>
      <w:tblPr>
        <w:tblW w:w="9547" w:type="dxa"/>
        <w:jc w:val="left"/>
        <w:tblInd w:w="93" w:type="dxa"/>
        <w:tblLayout w:type="fixed"/>
        <w:tblCellMar>
          <w:top w:w="0" w:type="dxa"/>
          <w:left w:w="1" w:type="dxa"/>
          <w:bottom w:w="0" w:type="dxa"/>
          <w:right w:w="5" w:type="dxa"/>
        </w:tblCellMar>
        <w:tblLook w:val="0000"/>
      </w:tblPr>
      <w:tblGrid>
        <w:gridCol w:w="900"/>
        <w:gridCol w:w="916"/>
        <w:gridCol w:w="1069"/>
        <w:gridCol w:w="997"/>
        <w:gridCol w:w="1271"/>
        <w:gridCol w:w="1418"/>
        <w:gridCol w:w="1416"/>
        <w:gridCol w:w="1558"/>
      </w:tblGrid>
      <w:tr>
        <w:trPr>
          <w:trHeight w:val="23" w:hRule="atLeast"/>
        </w:trPr>
        <w:tc>
          <w:tcPr>
            <w:tcW w:w="954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Уровень</w:t>
            </w:r>
          </w:p>
        </w:tc>
      </w:tr>
      <w:tr>
        <w:trPr>
          <w:trHeight w:val="23" w:hRule="atLeast"/>
        </w:trPr>
        <w:tc>
          <w:tcPr>
            <w:tcW w:w="1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расширенный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>(10-9</w:t>
            </w:r>
            <w:r>
              <w:rPr>
                <w:rFonts w:cs="Times New Roman" w:ascii="Times New Roman" w:hAnsi="Times New Roman"/>
              </w:rPr>
              <w:t>б.)</w:t>
            </w:r>
          </w:p>
        </w:tc>
        <w:tc>
          <w:tcPr>
            <w:tcW w:w="2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оптимальный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>(8-7</w:t>
            </w:r>
            <w:r>
              <w:rPr>
                <w:rFonts w:cs="Times New Roman" w:ascii="Times New Roman" w:hAnsi="Times New Roman"/>
              </w:rPr>
              <w:t>б.)</w:t>
            </w:r>
          </w:p>
        </w:tc>
        <w:tc>
          <w:tcPr>
            <w:tcW w:w="26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базовый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>(6-5</w:t>
            </w:r>
            <w:r>
              <w:rPr>
                <w:rFonts w:cs="Times New Roman" w:ascii="Times New Roman" w:hAnsi="Times New Roman"/>
              </w:rPr>
              <w:t>б.)</w:t>
            </w:r>
          </w:p>
        </w:tc>
        <w:tc>
          <w:tcPr>
            <w:tcW w:w="29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ниже стандарта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 xml:space="preserve">(4 - 0 </w:t>
            </w:r>
            <w:r>
              <w:rPr>
                <w:rFonts w:cs="Times New Roman" w:ascii="Times New Roman" w:hAnsi="Times New Roman"/>
              </w:rPr>
              <w:t>б.)</w:t>
            </w:r>
          </w:p>
        </w:tc>
      </w:tr>
      <w:tr>
        <w:trPr>
          <w:trHeight w:val="23" w:hRule="atLeast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</w:tr>
      <w:tr>
        <w:trPr>
          <w:trHeight w:val="117" w:hRule="atLeast"/>
        </w:trPr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24%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29%</w:t>
            </w: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35%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1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12%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На уровне стандарта практическая грамотность и фактологическая точность выявлена у 30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чел.,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88%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Качество знаний: 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18  чел.,  53%.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Не справились: 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4 чел.,  12%.</w:t>
      </w:r>
    </w:p>
    <w:p>
      <w:pPr>
        <w:pStyle w:val="NormalWeb"/>
        <w:spacing w:beforeAutospacing="0" w:before="0" w:after="280"/>
        <w:jc w:val="both"/>
        <w:rPr/>
      </w:pPr>
      <w:r>
        <w:rPr>
          <w:b/>
        </w:rPr>
        <w:t>Грамотность</w:t>
      </w:r>
      <w:r>
        <w:rPr/>
        <w:t xml:space="preserve"> экзаменуемых оценивалась суммарно с учётом грубых и негрубых, однотипных и неоднотипных ошибок на основании поверки изложения и сочинения. </w:t>
        <w:br/>
        <w:t xml:space="preserve">При оценке грамотности учитывался объём изложения и сочинения. Общие нормативы применялись при проверке и оценке изложения и сочинения, объём которых в сумме составлял 140 и более слов. </w:t>
      </w:r>
    </w:p>
    <w:p>
      <w:pPr>
        <w:pStyle w:val="NormalWeb"/>
        <w:spacing w:beforeAutospacing="0" w:before="0" w:after="280"/>
        <w:jc w:val="both"/>
        <w:rPr/>
      </w:pPr>
      <w:r>
        <w:rPr/>
        <w:t xml:space="preserve">Данные проверки заданий с развёрнутым ответом по критериям ГК1 (соблюдение орфографических норм), ГК2 (соблюдение пунктуационных норм), ГК3 (соблюдение грамматических норм), ГК4 (соблюдение речевых норм) показывают, что орфографические, пунктуационные умения; грамматические и речевые навыки сформированы в достаточной степени; фактическая точность речи на хорошем уровне. </w:t>
      </w:r>
    </w:p>
    <w:p>
      <w:pPr>
        <w:pStyle w:val="NormalWeb"/>
        <w:spacing w:before="280" w:after="280"/>
        <w:jc w:val="both"/>
        <w:rPr/>
      </w:pPr>
      <w:r>
        <w:rPr/>
        <w:t>Причиной низких результатов по критерию ГК2 можно считать недостаточную сформированность у обучающихся умений применять пунктуационные правила. 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Результаты выполнения тестовой части</w:t>
      </w:r>
    </w:p>
    <w:tbl>
      <w:tblPr>
        <w:tblW w:w="9473" w:type="dxa"/>
        <w:jc w:val="left"/>
        <w:tblInd w:w="1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13"/>
        <w:gridCol w:w="5517"/>
        <w:gridCol w:w="1417"/>
        <w:gridCol w:w="1525"/>
      </w:tblGrid>
      <w:tr>
        <w:trPr>
          <w:trHeight w:val="562" w:hRule="atLeast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задания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Проверяемые элементы содержания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Количество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% выполнения</w:t>
            </w:r>
          </w:p>
        </w:tc>
      </w:tr>
      <w:tr>
        <w:trPr>
          <w:trHeight w:val="1" w:hRule="atLeast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tabs>
                <w:tab w:val="clear" w:pos="708"/>
                <w:tab w:val="left" w:pos="34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Текст как речевое произведение. Смысловая и композиционная целостность текста. Анализ текста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30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88%</w:t>
            </w:r>
          </w:p>
        </w:tc>
      </w:tr>
      <w:tr>
        <w:trPr>
          <w:trHeight w:val="1" w:hRule="atLeast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Выразительные средства лексики и фразеологии.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Анализ средств выразительности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24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70,5%</w:t>
            </w:r>
          </w:p>
        </w:tc>
      </w:tr>
      <w:tr>
        <w:trPr>
          <w:trHeight w:val="337" w:hRule="atLeast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Правописание приставок.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Слитное, дефисное, раздельное написание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24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70,5%</w:t>
            </w:r>
          </w:p>
        </w:tc>
      </w:tr>
      <w:tr>
        <w:trPr>
          <w:trHeight w:val="1" w:hRule="atLeast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Правописание суффиксов различных частей речи (кроме -Н-/-НН-).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Правописание -Н- и -НН- в различных частях речи. Правописание личных окончаний глаголов и суффиксов причастий настоящего времени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27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79%</w:t>
            </w:r>
          </w:p>
        </w:tc>
      </w:tr>
      <w:tr>
        <w:trPr>
          <w:trHeight w:val="894" w:hRule="atLeast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Лексика и фразеология. Синонимы. Фразеологические обороты. Группы слов по происхождению и употреблению.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19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56%</w:t>
            </w:r>
          </w:p>
        </w:tc>
      </w:tr>
      <w:tr>
        <w:trPr>
          <w:trHeight w:val="431" w:hRule="atLeast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Словосочетание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28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82%</w:t>
            </w:r>
          </w:p>
        </w:tc>
      </w:tr>
      <w:tr>
        <w:trPr>
          <w:trHeight w:val="1" w:hRule="atLeast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Предложение. Грамматическая (предикативная) основа предложения. Подлежащее и сказуемое как главные члены предложения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18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53%</w:t>
            </w:r>
          </w:p>
        </w:tc>
      </w:tr>
      <w:tr>
        <w:trPr>
          <w:trHeight w:val="1" w:hRule="atLeast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Осложнённое простое предложение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24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70,5%</w:t>
            </w:r>
          </w:p>
        </w:tc>
      </w:tr>
      <w:tr>
        <w:trPr>
          <w:trHeight w:val="1" w:hRule="atLeast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Пунктуационный анализ.Знаки препинания в предложениях со словами и конструкциями, грамматически не связанными с членами предложения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27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79%</w:t>
            </w:r>
          </w:p>
        </w:tc>
      </w:tr>
      <w:tr>
        <w:trPr>
          <w:trHeight w:val="1" w:hRule="atLeast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Синтаксический анализ сложного предложения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19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56%</w:t>
            </w:r>
          </w:p>
        </w:tc>
      </w:tr>
      <w:tr>
        <w:trPr>
          <w:trHeight w:val="1" w:hRule="atLeast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Пунктуационный анализ.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Знаки препинания в сложносочинённом 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сложноподчинённом предложениях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13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38%</w:t>
            </w:r>
          </w:p>
        </w:tc>
      </w:tr>
      <w:tr>
        <w:trPr>
          <w:trHeight w:val="876" w:hRule="atLeast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Times New Roman CYR" w:cs="Times New Roman"/>
                <w:sz w:val="24"/>
                <w:szCs w:val="24"/>
              </w:rPr>
            </w:pPr>
            <w:r>
              <w:rPr>
                <w:rFonts w:eastAsia="Times New Roman CYR" w:cs="Times New Roman" w:ascii="Times New Roman" w:hAnsi="Times New Roman"/>
                <w:sz w:val="24"/>
                <w:szCs w:val="24"/>
              </w:rPr>
              <w:t>Пунктуационный анализ.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Times New Roman CYR" w:cs="Times New Roman"/>
                <w:sz w:val="24"/>
                <w:szCs w:val="24"/>
              </w:rPr>
            </w:pPr>
            <w:r>
              <w:rPr>
                <w:rFonts w:eastAsia="Times New Roman CYR" w:cs="Times New Roman" w:ascii="Times New Roman" w:hAnsi="Times New Roman"/>
                <w:sz w:val="24"/>
                <w:szCs w:val="24"/>
              </w:rPr>
              <w:t>Знаки препинания в сложносочинённом и</w:t>
            </w:r>
          </w:p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Times New Roman CYR" w:cs="Times New Roman"/>
                <w:sz w:val="24"/>
                <w:szCs w:val="24"/>
              </w:rPr>
            </w:pPr>
            <w:r>
              <w:rPr>
                <w:rFonts w:eastAsia="Times New Roman CYR" w:cs="Times New Roman" w:ascii="Times New Roman" w:hAnsi="Times New Roman"/>
                <w:sz w:val="24"/>
                <w:szCs w:val="24"/>
              </w:rPr>
              <w:t>сложноподчинённом предложениях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20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59%</w:t>
            </w:r>
          </w:p>
        </w:tc>
      </w:tr>
      <w:tr>
        <w:trPr>
          <w:trHeight w:val="515" w:hRule="atLeast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Сложные предложения с разными видами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связи между частями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20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Style19"/>
              <w:widowControl w:val="false"/>
              <w:snapToGrid w:val="false"/>
              <w:jc w:val="center"/>
              <w:rPr/>
            </w:pPr>
            <w:r>
              <w:rPr/>
              <w:t>59%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На высоком уровне (79 и более %): задания № 2,5,7,10.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На низком уровне (50 и менее %): задание №12.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Качество выполнения тестовой части</w:t>
      </w:r>
    </w:p>
    <w:tbl>
      <w:tblPr>
        <w:tblW w:w="9406" w:type="dxa"/>
        <w:jc w:val="left"/>
        <w:tblInd w:w="93" w:type="dxa"/>
        <w:tblLayout w:type="fixed"/>
        <w:tblCellMar>
          <w:top w:w="0" w:type="dxa"/>
          <w:left w:w="1" w:type="dxa"/>
          <w:bottom w:w="0" w:type="dxa"/>
          <w:right w:w="5" w:type="dxa"/>
        </w:tblCellMar>
        <w:tblLook w:val="0000"/>
      </w:tblPr>
      <w:tblGrid>
        <w:gridCol w:w="1609"/>
        <w:gridCol w:w="992"/>
        <w:gridCol w:w="1276"/>
        <w:gridCol w:w="945"/>
        <w:gridCol w:w="1181"/>
        <w:gridCol w:w="993"/>
        <w:gridCol w:w="1416"/>
        <w:gridCol w:w="992"/>
      </w:tblGrid>
      <w:tr>
        <w:trPr>
          <w:trHeight w:val="23" w:hRule="atLeast"/>
        </w:trPr>
        <w:tc>
          <w:tcPr>
            <w:tcW w:w="94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Уровень</w:t>
            </w:r>
          </w:p>
        </w:tc>
      </w:tr>
      <w:tr>
        <w:trPr>
          <w:trHeight w:val="23" w:hRule="atLeast"/>
        </w:trPr>
        <w:tc>
          <w:tcPr>
            <w:tcW w:w="26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расширенный 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(13-12</w:t>
            </w:r>
            <w:r>
              <w:rPr>
                <w:rFonts w:cs="Times New Roman" w:ascii="Times New Roman" w:hAnsi="Times New Roman"/>
              </w:rPr>
              <w:t>б.)</w:t>
            </w:r>
          </w:p>
        </w:tc>
        <w:tc>
          <w:tcPr>
            <w:tcW w:w="22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оптимальный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>(11-10</w:t>
            </w:r>
            <w:r>
              <w:rPr>
                <w:rFonts w:cs="Times New Roman" w:ascii="Times New Roman" w:hAnsi="Times New Roman"/>
              </w:rPr>
              <w:t>б.)</w:t>
            </w:r>
          </w:p>
        </w:tc>
        <w:tc>
          <w:tcPr>
            <w:tcW w:w="21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базовый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>(9-7</w:t>
            </w:r>
            <w:r>
              <w:rPr>
                <w:rFonts w:cs="Times New Roman" w:ascii="Times New Roman" w:hAnsi="Times New Roman"/>
              </w:rPr>
              <w:t>б.)</w:t>
            </w:r>
          </w:p>
        </w:tc>
        <w:tc>
          <w:tcPr>
            <w:tcW w:w="24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ниже стандарта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>(6-0</w:t>
            </w:r>
            <w:r>
              <w:rPr>
                <w:rFonts w:cs="Times New Roman" w:ascii="Times New Roman" w:hAnsi="Times New Roman"/>
              </w:rPr>
              <w:t>б.)</w:t>
            </w:r>
          </w:p>
        </w:tc>
      </w:tr>
      <w:tr>
        <w:trPr>
          <w:trHeight w:val="23" w:hRule="atLeast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количество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количество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количество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количество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</w:tr>
      <w:tr>
        <w:trPr>
          <w:trHeight w:val="23" w:hRule="atLeast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17,5%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26,5%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26,5%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29,5%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На уровне  стандарта: 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24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чел.,   70,5%.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Качество знаний: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15 чел.,    44%.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Не справились:  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10 чел.,  29,5%.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rPr/>
      </w:pPr>
      <w:r>
        <w:rPr>
          <w:b/>
          <w:bCs/>
        </w:rPr>
        <w:t>Недостаточно усвоены учащимися следующие элементы знаний:</w:t>
      </w:r>
    </w:p>
    <w:p>
      <w:pPr>
        <w:pStyle w:val="NormalWeb"/>
        <w:spacing w:beforeAutospacing="0" w:before="0" w:afterAutospacing="0" w:after="0"/>
        <w:rPr/>
      </w:pPr>
      <w:r>
        <w:rPr/>
        <w:t>№</w:t>
      </w:r>
      <w:r>
        <w:rPr/>
        <w:t>12 – Знаки препинания в сложносочинённом и сложноподчинённом предложениях. Причины трудностей в освоении норм пунктуации связаны с недостаточным усвоением учащимися тем синтаксиса и пунктуации в 9 классе.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rPr/>
      </w:pPr>
      <w:r>
        <w:rPr>
          <w:b/>
        </w:rPr>
        <w:t xml:space="preserve">Рекомендации: </w:t>
      </w:r>
      <w:r>
        <w:rPr/>
        <w:t xml:space="preserve"> следует в дальнейшем обратить внимание на пунктуационные нормы. На уроках повторения и обобщения отрабатывать слабо усвоенные правила.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Уровень выполнения заданий части 2 (задания 2-14)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/>
        <w:drawing>
          <wp:inline distT="0" distB="0" distL="0" distR="0">
            <wp:extent cx="4566285" cy="1556385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"/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Качество выполнения  ОГЭ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tbl>
      <w:tblPr>
        <w:tblW w:w="9406" w:type="dxa"/>
        <w:jc w:val="left"/>
        <w:tblInd w:w="93" w:type="dxa"/>
        <w:tblLayout w:type="fixed"/>
        <w:tblCellMar>
          <w:top w:w="0" w:type="dxa"/>
          <w:left w:w="1" w:type="dxa"/>
          <w:bottom w:w="0" w:type="dxa"/>
          <w:right w:w="5" w:type="dxa"/>
        </w:tblCellMar>
        <w:tblLook w:val="0000"/>
      </w:tblPr>
      <w:tblGrid>
        <w:gridCol w:w="1066"/>
        <w:gridCol w:w="1101"/>
        <w:gridCol w:w="1285"/>
        <w:gridCol w:w="1418"/>
        <w:gridCol w:w="991"/>
        <w:gridCol w:w="1277"/>
        <w:gridCol w:w="991"/>
        <w:gridCol w:w="1275"/>
      </w:tblGrid>
      <w:tr>
        <w:trPr>
          <w:trHeight w:val="23" w:hRule="atLeast"/>
        </w:trPr>
        <w:tc>
          <w:tcPr>
            <w:tcW w:w="94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Уровень</w:t>
            </w:r>
          </w:p>
        </w:tc>
      </w:tr>
      <w:tr>
        <w:trPr>
          <w:trHeight w:val="23" w:hRule="atLeast"/>
        </w:trPr>
        <w:tc>
          <w:tcPr>
            <w:tcW w:w="2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расширенный «5»</w:t>
            </w:r>
          </w:p>
          <w:p>
            <w:pPr>
              <w:pStyle w:val="Normal"/>
              <w:widowControl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>(39-34 б.,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ГК1-ГК4 не менее 6 баллов)</w:t>
            </w:r>
          </w:p>
        </w:tc>
        <w:tc>
          <w:tcPr>
            <w:tcW w:w="27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оптимальный «4»</w:t>
            </w:r>
          </w:p>
          <w:p>
            <w:pPr>
              <w:pStyle w:val="Normal"/>
              <w:widowControl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 xml:space="preserve">(33- 25б., 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>ГК1-ГК4 не менее 4 баллов)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базовый «3»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>(24- 15</w:t>
            </w:r>
            <w:r>
              <w:rPr>
                <w:rFonts w:cs="Times New Roman" w:ascii="Times New Roman" w:hAnsi="Times New Roman"/>
              </w:rPr>
              <w:t>б.)</w:t>
            </w:r>
          </w:p>
        </w:tc>
        <w:tc>
          <w:tcPr>
            <w:tcW w:w="22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ниже стандарта «2»</w:t>
            </w:r>
          </w:p>
          <w:p>
            <w:pPr>
              <w:pStyle w:val="Normal"/>
              <w:widowControl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lang w:val="en-US"/>
              </w:rPr>
              <w:t xml:space="preserve">(14-0 </w:t>
            </w:r>
            <w:r>
              <w:rPr>
                <w:rFonts w:cs="Times New Roman" w:ascii="Times New Roman" w:hAnsi="Times New Roman"/>
              </w:rPr>
              <w:t>б.)</w:t>
            </w:r>
          </w:p>
        </w:tc>
      </w:tr>
      <w:tr>
        <w:trPr>
          <w:trHeight w:val="23" w:hRule="atLeast"/>
        </w:trPr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  </w:t>
            </w: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кол-во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  <w:t>%</w:t>
            </w:r>
          </w:p>
        </w:tc>
      </w:tr>
      <w:tr>
        <w:trPr>
          <w:trHeight w:val="23" w:hRule="atLeast"/>
        </w:trPr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9</w:t>
            </w: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26,5%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15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44%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10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29,5%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tLeast" w:line="100" w:before="0" w:after="20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На уровне  стандарта:  34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чел.,   100%.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Качество знаний:  24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чел.,  70,5%.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Не справились: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0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чел.,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_________%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Средний балл выполнения работы: 4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                                       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Результаты ОГЭ-2019 по русскому языку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/>
        <w:drawing>
          <wp:inline distT="0" distB="0" distL="0" distR="0">
            <wp:extent cx="4564380" cy="1547495"/>
            <wp:effectExtent l="0" t="0" r="0" b="0"/>
            <wp:docPr id="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"/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Количественные показатели (чел.)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/>
        <w:drawing>
          <wp:inline distT="0" distB="0" distL="0" distR="0">
            <wp:extent cx="4566285" cy="1397635"/>
            <wp:effectExtent l="0" t="0" r="0" b="0"/>
            <wp:docPr id="3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Общие выводы по результатам ОГЭ: </w:t>
      </w:r>
    </w:p>
    <w:p>
      <w:pPr>
        <w:pStyle w:val="NormalWeb"/>
        <w:spacing w:before="280" w:after="280"/>
        <w:jc w:val="both"/>
        <w:rPr/>
      </w:pPr>
      <w:r>
        <w:rPr/>
        <w:t xml:space="preserve">Анализ результатов выполнения  экзаменационной работы по русскому языку даёт основание утверждать, что учащиеся справились с заданиями, проверяющими уровень сформированности основных предметных компетенций, </w:t>
      </w:r>
      <w:r>
        <w:rPr>
          <w:b/>
        </w:rPr>
        <w:t>на хорошем уровне</w:t>
      </w:r>
      <w:r>
        <w:rPr/>
        <w:t>.</w:t>
      </w:r>
    </w:p>
    <w:p>
      <w:pPr>
        <w:pStyle w:val="NormalWeb"/>
        <w:spacing w:before="280" w:afterAutospacing="0" w:after="0"/>
        <w:jc w:val="both"/>
        <w:rPr/>
      </w:pPr>
      <w:r>
        <w:rPr>
          <w:b/>
          <w:bCs/>
        </w:rPr>
        <w:t>Анализ результатов ОГЭ позволил выработать следующие рекомендации: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 xml:space="preserve">- провести анализ типичных ошибок, выявленных при выполнении экзаменационной работы, разработать систему работы по корректировке знаний школьников; 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- особое внимание уделять работе по формированию навыков владения пунктуационными, грамматическими и речевыми нормами;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- продолжить подготовку к ОГЭ по Демоверсиям, по Кодификатору элементов содержания и уровня требований к подготовке выпускников 9-х классов, расположенному на сайте ФИПИ;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- практиковать проведение промежуточного и итогового контроля по контрольно-измерительным материалам;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- осуществлять дифференцированный подход к обучающимся,  с целью повышения уровня  качества знания выпускников (использовать эффективные технологии обучения, обеспечивающие разноуровневый и индивидуальный подход);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- использовать в своей деятельности единый критериальный подход к оценке работ учащихся.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Учитель русского языка и литературы                                                                 Е.С. Фиронова</w:t>
      </w:r>
    </w:p>
    <w:p>
      <w:pPr>
        <w:pStyle w:val="Normal"/>
        <w:spacing w:before="0" w:after="20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13.06.2019г.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8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55c7c"/>
    <w:pPr>
      <w:widowControl/>
      <w:bidi w:val="0"/>
      <w:spacing w:lineRule="auto" w:line="276" w:before="0" w:after="20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eastAsia="ru-RU" w:val="ru-RU" w:bidi="ar-SA"/>
    </w:rPr>
  </w:style>
  <w:style w:type="paragraph" w:styleId="1">
    <w:name w:val="Heading 1"/>
    <w:basedOn w:val="Normal"/>
    <w:next w:val="Normal"/>
    <w:link w:val="10"/>
    <w:qFormat/>
    <w:rsid w:val="00c8541b"/>
    <w:pPr>
      <w:keepNext w:val="true"/>
      <w:spacing w:lineRule="auto" w:line="240" w:before="240" w:after="60"/>
      <w:outlineLvl w:val="0"/>
    </w:pPr>
    <w:rPr>
      <w:rFonts w:ascii="Times New Roman" w:hAnsi="Times New Roman" w:eastAsia="Times New Roman" w:cs="Times New Roman"/>
      <w:bCs/>
      <w:kern w:val="2"/>
      <w:sz w:val="24"/>
      <w:szCs w:val="24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940239"/>
    <w:pPr>
      <w:keepNext w:val="true"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c8541b"/>
    <w:rPr>
      <w:rFonts w:ascii="Times New Roman" w:hAnsi="Times New Roman" w:eastAsia="Times New Roman" w:cs="Times New Roman"/>
      <w:bCs/>
      <w:kern w:val="2"/>
      <w:sz w:val="24"/>
      <w:szCs w:val="24"/>
      <w:lang w:eastAsia="ru-RU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940239"/>
    <w:rPr>
      <w:rFonts w:ascii="Cambria" w:hAnsi="Cambria" w:eastAsia="" w:cs="" w:asciiTheme="majorHAnsi" w:cstheme="majorBidi" w:eastAsiaTheme="majorEastAsia" w:hAnsiTheme="majorHAnsi"/>
      <w:color w:val="243F60" w:themeColor="accent1" w:themeShade="7f"/>
      <w:lang w:eastAsia="ru-RU"/>
    </w:rPr>
  </w:style>
  <w:style w:type="character" w:styleId="Style12" w:customStyle="1">
    <w:name w:val="Основной текст Знак"/>
    <w:basedOn w:val="DefaultParagraphFont"/>
    <w:link w:val="a7"/>
    <w:uiPriority w:val="99"/>
    <w:semiHidden/>
    <w:qFormat/>
    <w:rsid w:val="00940239"/>
    <w:rPr>
      <w:rFonts w:eastAsia="" w:eastAsiaTheme="minorEastAsia"/>
      <w:lang w:eastAsia="ru-RU"/>
    </w:rPr>
  </w:style>
  <w:style w:type="character" w:styleId="Style13" w:customStyle="1">
    <w:name w:val="Текст выноски Знак"/>
    <w:basedOn w:val="DefaultParagraphFont"/>
    <w:link w:val="a9"/>
    <w:uiPriority w:val="99"/>
    <w:semiHidden/>
    <w:qFormat/>
    <w:rsid w:val="004a7575"/>
    <w:rPr>
      <w:rFonts w:ascii="Tahoma" w:hAnsi="Tahoma" w:eastAsia="" w:cs="Tahoma" w:eastAsiaTheme="minorEastAsia"/>
      <w:sz w:val="16"/>
      <w:szCs w:val="16"/>
      <w:lang w:eastAsia="ru-RU"/>
    </w:rPr>
  </w:style>
  <w:style w:type="paragraph" w:styleId="Style14" w:customStyle="1">
    <w:name w:val="Заголовок"/>
    <w:basedOn w:val="Normal"/>
    <w:next w:val="Style15"/>
    <w:qFormat/>
    <w:rsid w:val="00940239"/>
    <w:pPr>
      <w:keepNext w:val="true"/>
      <w:widowControl w:val="false"/>
      <w:suppressAutoHyphens w:val="true"/>
      <w:spacing w:lineRule="auto" w:line="240" w:before="240" w:after="120"/>
    </w:pPr>
    <w:rPr>
      <w:rFonts w:ascii="Arial" w:hAnsi="Arial" w:eastAsia="Microsoft YaHei" w:cs="Mangal"/>
      <w:kern w:val="2"/>
      <w:sz w:val="28"/>
      <w:szCs w:val="28"/>
      <w:lang w:eastAsia="hi-IN" w:bidi="hi-IN"/>
    </w:rPr>
  </w:style>
  <w:style w:type="paragraph" w:styleId="Style15">
    <w:name w:val="Body Text"/>
    <w:basedOn w:val="Normal"/>
    <w:link w:val="a8"/>
    <w:uiPriority w:val="99"/>
    <w:semiHidden/>
    <w:unhideWhenUsed/>
    <w:rsid w:val="00940239"/>
    <w:pPr>
      <w:spacing w:before="0" w:after="12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d5322f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800d5e"/>
    <w:pPr>
      <w:widowControl/>
      <w:bidi w:val="0"/>
      <w:spacing w:lineRule="auto" w:line="240" w:before="0" w:after="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eastAsia="ru-RU" w:val="ru-RU" w:bidi="ar-SA"/>
    </w:rPr>
  </w:style>
  <w:style w:type="paragraph" w:styleId="Style19" w:customStyle="1">
    <w:name w:val="Содержимое таблицы"/>
    <w:basedOn w:val="Normal"/>
    <w:qFormat/>
    <w:rsid w:val="00050672"/>
    <w:pPr>
      <w:widowControl w:val="false"/>
      <w:suppressLineNumbers/>
      <w:suppressAutoHyphens w:val="true"/>
      <w:spacing w:lineRule="auto" w:line="240" w:before="0" w:after="0"/>
    </w:pPr>
    <w:rPr>
      <w:rFonts w:ascii="Times New Roman" w:hAnsi="Times New Roman" w:eastAsia="SimSun" w:cs="Mangal"/>
      <w:kern w:val="2"/>
      <w:sz w:val="24"/>
      <w:szCs w:val="24"/>
      <w:lang w:eastAsia="hi-IN" w:bidi="hi-IN"/>
    </w:rPr>
  </w:style>
  <w:style w:type="paragraph" w:styleId="BalloonText">
    <w:name w:val="Balloon Text"/>
    <w:basedOn w:val="Normal"/>
    <w:link w:val="aa"/>
    <w:uiPriority w:val="99"/>
    <w:semiHidden/>
    <w:unhideWhenUsed/>
    <w:qFormat/>
    <w:rsid w:val="004a757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8104d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chart" Target="charts/chart2.xml"/><Relationship Id="rId4" Type="http://schemas.openxmlformats.org/officeDocument/2006/relationships/chart" Target="charts/chart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autoTitleDeleted val="1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Серия1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invertIfNegative val="0"/>
          <c:dLbls>
            <c:numFmt formatCode="0.00%" sourceLinked="0"/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13"/>
                <c:pt idx="0">
                  <c:v>№2</c:v>
                </c:pt>
                <c:pt idx="1">
                  <c:v>№3</c:v>
                </c:pt>
                <c:pt idx="2">
                  <c:v>№4</c:v>
                </c:pt>
                <c:pt idx="3">
                  <c:v>№5</c:v>
                </c:pt>
                <c:pt idx="4">
                  <c:v>№6</c:v>
                </c:pt>
                <c:pt idx="5">
                  <c:v>№7</c:v>
                </c:pt>
                <c:pt idx="6">
                  <c:v>№8</c:v>
                </c:pt>
                <c:pt idx="7">
                  <c:v>№9</c:v>
                </c:pt>
                <c:pt idx="8">
                  <c:v>№10</c:v>
                </c:pt>
                <c:pt idx="9">
                  <c:v>№11</c:v>
                </c:pt>
                <c:pt idx="10">
                  <c:v>№12</c:v>
                </c:pt>
                <c:pt idx="11">
                  <c:v>№13</c:v>
                </c:pt>
                <c:pt idx="12">
                  <c:v>№14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3"/>
                <c:pt idx="0">
                  <c:v>0.88</c:v>
                </c:pt>
                <c:pt idx="1">
                  <c:v>0.705</c:v>
                </c:pt>
                <c:pt idx="2">
                  <c:v>0.705</c:v>
                </c:pt>
                <c:pt idx="3">
                  <c:v>0.79</c:v>
                </c:pt>
                <c:pt idx="4">
                  <c:v>0.56</c:v>
                </c:pt>
                <c:pt idx="5">
                  <c:v>0.82</c:v>
                </c:pt>
                <c:pt idx="6">
                  <c:v>0.53</c:v>
                </c:pt>
                <c:pt idx="7">
                  <c:v>0.705</c:v>
                </c:pt>
                <c:pt idx="8">
                  <c:v>0.79</c:v>
                </c:pt>
                <c:pt idx="9">
                  <c:v>0.56</c:v>
                </c:pt>
                <c:pt idx="10">
                  <c:v>0.38</c:v>
                </c:pt>
                <c:pt idx="11">
                  <c:v>0.59</c:v>
                </c:pt>
                <c:pt idx="12">
                  <c:v>0.59</c:v>
                </c:pt>
              </c:numCache>
            </c:numRef>
          </c:val>
        </c:ser>
        <c:gapWidth val="150"/>
        <c:overlap val="0"/>
        <c:axId val="23993407"/>
        <c:axId val="49056781"/>
      </c:barChart>
      <c:catAx>
        <c:axId val="23993407"/>
        <c:scaling>
          <c:orientation val="minMax"/>
        </c:scaling>
        <c:delete val="0"/>
        <c:axPos val="b"/>
        <c:numFmt formatCode="[$-419]dd/mm/yyyy" sourceLinked="1"/>
        <c:majorTickMark val="none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49056781"/>
        <c:crosses val="autoZero"/>
        <c:auto val="1"/>
        <c:lblAlgn val="ctr"/>
        <c:lblOffset val="100"/>
        <c:noMultiLvlLbl val="0"/>
      </c:catAx>
      <c:valAx>
        <c:axId val="49056781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%" sourceLinked="0"/>
        <c:majorTickMark val="none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23993407"/>
        <c:crosses val="autoZero"/>
        <c:crossBetween val="between"/>
      </c:valAx>
      <c:spPr>
        <a:solidFill>
          <a:srgbClr val="ffffff"/>
        </a:solidFill>
        <a:ln w="0">
          <a:noFill/>
        </a:ln>
      </c:spPr>
    </c:plotArea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autoTitleDeleted val="1"/>
    <c:plotArea>
      <c:barChart>
        <c:barDir val="col"/>
        <c:grouping val="stack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Серия1</c:v>
                </c:pt>
              </c:strCache>
            </c:strRef>
          </c:tx>
          <c:spPr>
            <a:solidFill>
              <a:srgbClr val="c0504d"/>
            </a:solidFill>
            <a:ln w="0">
              <a:noFill/>
            </a:ln>
          </c:spPr>
          <c:invertIfNegative val="0"/>
          <c:dLbls>
            <c:numFmt formatCode="General" sourceLinked="0"/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3"/>
                <c:pt idx="0">
                  <c:v>уровень обученности</c:v>
                </c:pt>
                <c:pt idx="1">
                  <c:v/>
                </c:pt>
                <c:pt idx="2">
                  <c:v>качество обученности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1</c:v>
                </c:pt>
                <c:pt idx="2">
                  <c:v>0.705</c:v>
                </c:pt>
              </c:numCache>
            </c:numRef>
          </c:val>
        </c:ser>
        <c:gapWidth val="150"/>
        <c:overlap val="100"/>
        <c:axId val="24145826"/>
        <c:axId val="32969688"/>
      </c:barChart>
      <c:catAx>
        <c:axId val="24145826"/>
        <c:scaling>
          <c:orientation val="minMax"/>
        </c:scaling>
        <c:delete val="0"/>
        <c:axPos val="b"/>
        <c:numFmt formatCode="[$-419]dd/mm/yyyy" sourceLinked="1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32969688"/>
        <c:crosses val="autoZero"/>
        <c:auto val="1"/>
        <c:lblAlgn val="ctr"/>
        <c:lblOffset val="100"/>
        <c:noMultiLvlLbl val="0"/>
      </c:catAx>
      <c:valAx>
        <c:axId val="32969688"/>
        <c:scaling>
          <c:orientation val="minMax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24145826"/>
        <c:crosses val="autoZero"/>
        <c:crossBetween val="between"/>
      </c:valAx>
      <c:spPr>
        <a:solidFill>
          <a:srgbClr val="ffffff"/>
        </a:solidFill>
        <a:ln w="0">
          <a:noFill/>
        </a:ln>
      </c:spPr>
    </c:plotArea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autoTitleDeleted val="1"/>
    <c:plotArea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Серия1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4672a8"/>
              </a:solidFill>
              <a:ln w="0">
                <a:noFill/>
              </a:ln>
            </c:spPr>
          </c:dPt>
          <c:dPt>
            <c:idx val="1"/>
            <c:spPr>
              <a:solidFill>
                <a:srgbClr val="ab4744"/>
              </a:solidFill>
              <a:ln w="0">
                <a:noFill/>
              </a:ln>
            </c:spPr>
          </c:dPt>
          <c:dPt>
            <c:idx val="2"/>
            <c:spPr>
              <a:solidFill>
                <a:srgbClr val="8aa64f"/>
              </a:solidFill>
              <a:ln w="0">
                <a:noFill/>
              </a:ln>
            </c:spPr>
          </c:dPt>
          <c:dPt>
            <c:idx val="3"/>
            <c:spPr>
              <a:solidFill>
                <a:srgbClr val="725990"/>
              </a:solidFill>
              <a:ln w="0">
                <a:noFill/>
              </a:ln>
            </c:spPr>
          </c:dPt>
          <c:dPt>
            <c:idx val="4"/>
            <c:spPr>
              <a:solidFill>
                <a:srgbClr val="4299b0"/>
              </a:solidFill>
              <a:ln w="0">
                <a:noFill/>
              </a:ln>
            </c:spPr>
          </c:dPt>
          <c:dPt>
            <c:idx val="5"/>
            <c:spPr>
              <a:solidFill>
                <a:srgbClr val="dc853e"/>
              </a:solidFill>
              <a:ln w="0">
                <a:noFill/>
              </a:ln>
            </c:spPr>
          </c:dPt>
          <c:dPt>
            <c:idx val="6"/>
            <c:spPr>
              <a:solidFill>
                <a:srgbClr val="93a9ce"/>
              </a:solidFill>
              <a:ln w="0">
                <a:noFill/>
              </a:ln>
            </c:spPr>
          </c:dPt>
          <c:dPt>
            <c:idx val="7"/>
            <c:spPr>
              <a:solidFill>
                <a:srgbClr val="d09493"/>
              </a:solidFill>
              <a:ln w="0">
                <a:noFill/>
              </a:ln>
            </c:spPr>
          </c:dPt>
          <c:dLbls>
            <c:numFmt formatCode="General" sourceLinked="0"/>
            <c:dLbl>
              <c:idx val="0"/>
              <c:numFmt formatCode="General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1"/>
              <c:numFmt formatCode="General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2"/>
              <c:numFmt formatCode="General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3"/>
              <c:numFmt formatCode="General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4"/>
              <c:numFmt formatCode="General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5"/>
              <c:numFmt formatCode="General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6"/>
              <c:numFmt formatCode="General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7"/>
              <c:numFmt formatCode="General" sourceLinked="0"/>
              <c:txPr>
                <a:bodyPr wrap="non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eparator>; </c:separator>
            </c:dLbl>
            <c:txPr>
              <a:bodyPr wrap="non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</c:dLbls>
          <c:cat>
            <c:strRef>
              <c:f>categories</c:f>
              <c:strCache>
                <c:ptCount val="8"/>
                <c:pt idx="0">
                  <c:v/>
                </c:pt>
                <c:pt idx="1">
                  <c:v/>
                </c:pt>
                <c:pt idx="2">
                  <c:v/>
                </c:pt>
                <c:pt idx="3">
                  <c:v/>
                </c:pt>
                <c:pt idx="4">
                  <c:v/>
                </c:pt>
                <c:pt idx="5">
                  <c:v/>
                </c:pt>
                <c:pt idx="6">
                  <c:v/>
                </c:pt>
                <c:pt idx="7">
                  <c:v/>
                </c:pt>
              </c:strCache>
            </c:strRef>
          </c:cat>
          <c:val>
            <c:numRef>
              <c:f>0</c:f>
              <c:numCache>
                <c:formatCode>General</c:formatCode>
                <c:ptCount val="8"/>
                <c:pt idx="0">
                  <c:v>9</c:v>
                </c:pt>
                <c:pt idx="1">
                  <c:v>15</c:v>
                </c:pt>
                <c:pt idx="2">
                  <c:v>10</c:v>
                </c:pt>
              </c:numCache>
            </c:numRef>
          </c:val>
        </c:ser>
        <c:firstSliceAng val="0"/>
      </c:pieChart>
      <c:spPr>
        <a:solidFill>
          <a:srgbClr val="ffffff"/>
        </a:solidFill>
        <a:ln w="0">
          <a:noFill/>
        </a:ln>
      </c:spPr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Application>LibreOffice/7.0.3.1$Windows_X86_64 LibreOffice_project/d7547858d014d4cf69878db179d326fc3483e082</Application>
  <Pages>8</Pages>
  <Words>1408</Words>
  <Characters>8510</Characters>
  <CharactersWithSpaces>9818</CharactersWithSpaces>
  <Paragraphs>433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2016-03-22T18:10:00Z</dcterms:created>
  <dc:creator>татьяна</dc:creator>
  <dc:description/>
  <dc:language>ru-RU</dc:language>
  <cp:lastModifiedBy>user</cp:lastModifiedBy>
  <cp:lastPrinted>2019-06-13T10:12:00Z</cp:lastPrinted>
  <dcterms:modified xsi:type="dcterms:W3CDTF">2019-06-13T10:19:00Z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