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_rels/chart1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embeddings/_____Microsoft_Office_Excel1.xlsx" ContentType="application/vnd.openxmlformats-officedocument.spreadsheetml.sheet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>Аналитическая справка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>о результатах итогового сочинения (изложения) по русскому языку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 xml:space="preserve">обучающихся 11 класса </w:t>
      </w:r>
      <w:r>
        <w:rPr>
          <w:rFonts w:eastAsia="Times New Roman"/>
          <w:b/>
          <w:bCs/>
          <w:sz w:val="22"/>
          <w:szCs w:val="20"/>
        </w:rPr>
        <w:t>в 2019-2020 учебном году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color w:val="000000"/>
          <w:sz w:val="22"/>
          <w:szCs w:val="20"/>
          <w:lang w:eastAsia="en-US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>В соответствии с приказом Минобрнауки от 07.11.2018 №1512 «Об утверждении Порядка проведения государственной итоговой аттестации по образовательным программам  среднего общего образования», Методическими рекомендациями, утвержденными письмом Рособрнадзора от 23.10.2018 № 10-875, было проведено итоговое сочинение по русскому языку в 11  классе  МАОУ СОШ № 30- го Дегтярск</w:t>
      </w:r>
    </w:p>
    <w:p>
      <w:pPr>
        <w:pStyle w:val="Normal"/>
        <w:jc w:val="both"/>
        <w:rPr>
          <w:sz w:val="22"/>
        </w:rPr>
      </w:pPr>
      <w:r>
        <w:rPr>
          <w:b/>
          <w:sz w:val="22"/>
        </w:rPr>
        <w:t>Цель:</w:t>
      </w:r>
      <w:r>
        <w:rPr>
          <w:sz w:val="22"/>
        </w:rPr>
        <w:t xml:space="preserve"> проверить умение создавать собственное связное высказывание на заданную тему с опорой на литературный материал. При этом особое внимание уделяется умению выпускника грамотно аргументировать свои мысли и утверждения.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jc w:val="both"/>
        <w:rPr>
          <w:b/>
          <w:b/>
          <w:sz w:val="22"/>
          <w:lang w:eastAsia="en-US"/>
        </w:rPr>
      </w:pPr>
      <w:r>
        <w:rPr>
          <w:b/>
          <w:sz w:val="22"/>
          <w:lang w:eastAsia="en-US"/>
        </w:rPr>
        <w:t>Срок проведения:</w:t>
      </w:r>
      <w:r>
        <w:rPr>
          <w:b/>
          <w:i/>
          <w:sz w:val="22"/>
          <w:lang w:eastAsia="en-US"/>
        </w:rPr>
        <w:t xml:space="preserve"> </w:t>
      </w:r>
      <w:r>
        <w:rPr>
          <w:b/>
          <w:sz w:val="22"/>
          <w:lang w:eastAsia="en-US"/>
        </w:rPr>
        <w:t>04.12.</w:t>
      </w:r>
      <w:r>
        <w:rPr>
          <w:b/>
          <w:sz w:val="22"/>
        </w:rPr>
        <w:t>20</w:t>
      </w:r>
      <w:r>
        <w:rPr>
          <w:b/>
          <w:sz w:val="22"/>
        </w:rPr>
        <w:t>19</w:t>
      </w:r>
      <w:r>
        <w:rPr>
          <w:b/>
          <w:sz w:val="22"/>
        </w:rPr>
        <w:t>г</w:t>
      </w:r>
    </w:p>
    <w:p>
      <w:pPr>
        <w:pStyle w:val="Normal"/>
        <w:ind w:firstLine="567"/>
        <w:jc w:val="both"/>
        <w:rPr>
          <w:rFonts w:eastAsia="Times New Roman"/>
          <w:b/>
          <w:b/>
          <w:color w:val="000000"/>
          <w:sz w:val="22"/>
          <w:szCs w:val="20"/>
          <w:lang w:eastAsia="en-US"/>
        </w:rPr>
      </w:pPr>
      <w:r>
        <w:rPr>
          <w:rFonts w:eastAsia="Times New Roman"/>
          <w:b/>
          <w:color w:val="000000"/>
          <w:sz w:val="22"/>
          <w:szCs w:val="20"/>
          <w:lang w:eastAsia="en-US"/>
        </w:rPr>
      </w:r>
    </w:p>
    <w:p>
      <w:pPr>
        <w:pStyle w:val="Normal"/>
        <w:jc w:val="both"/>
        <w:rPr>
          <w:sz w:val="22"/>
        </w:rPr>
      </w:pPr>
      <w:r>
        <w:rPr>
          <w:b/>
          <w:iCs/>
          <w:color w:val="000000"/>
          <w:sz w:val="22"/>
          <w:lang w:eastAsia="en-US"/>
        </w:rPr>
        <w:t>Состав комиссии</w:t>
      </w:r>
      <w:r>
        <w:rPr>
          <w:b/>
          <w:color w:val="000000"/>
          <w:sz w:val="22"/>
          <w:lang w:eastAsia="en-US"/>
        </w:rPr>
        <w:t>:</w:t>
      </w:r>
      <w:r>
        <w:rPr>
          <w:color w:val="000000"/>
          <w:sz w:val="22"/>
          <w:lang w:eastAsia="en-US"/>
        </w:rPr>
        <w:t xml:space="preserve"> </w:t>
      </w:r>
      <w:r>
        <w:rPr>
          <w:sz w:val="22"/>
        </w:rPr>
        <w:t>учителя русского языка и литературы (ОО).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В написании итогового сочинения (изложения) по русскому языку участвовали 20 обучающихся 11 класса, что составило 100% от общего количества. </w:t>
      </w:r>
    </w:p>
    <w:p>
      <w:pPr>
        <w:pStyle w:val="Normal"/>
        <w:ind w:firstLine="567"/>
        <w:jc w:val="both"/>
        <w:rPr>
          <w:rFonts w:eastAsia="Times New Roman"/>
          <w:iCs/>
          <w:color w:val="000000"/>
          <w:sz w:val="22"/>
          <w:szCs w:val="20"/>
        </w:rPr>
      </w:pPr>
      <w:r>
        <w:rPr>
          <w:rFonts w:eastAsia="Times New Roman"/>
          <w:iCs/>
          <w:color w:val="000000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iCs/>
          <w:color w:val="000000"/>
          <w:sz w:val="22"/>
          <w:szCs w:val="20"/>
        </w:rPr>
      </w:pPr>
      <w:r>
        <w:rPr>
          <w:rFonts w:eastAsia="Times New Roman"/>
          <w:b/>
          <w:iCs/>
          <w:color w:val="000000"/>
          <w:sz w:val="22"/>
          <w:szCs w:val="20"/>
        </w:rPr>
        <w:t>Анализ результата проверки по требованиям и критериям</w:t>
      </w:r>
      <w:r>
        <w:rPr>
          <w:rFonts w:eastAsia="Times New Roman"/>
          <w:b/>
          <w:color w:val="000000"/>
          <w:sz w:val="22"/>
          <w:szCs w:val="20"/>
        </w:rPr>
        <w:t xml:space="preserve"> итогового сочинения (изложения) </w:t>
      </w:r>
      <w:r>
        <w:rPr>
          <w:rFonts w:eastAsia="Times New Roman"/>
          <w:b/>
          <w:sz w:val="22"/>
          <w:szCs w:val="20"/>
        </w:rPr>
        <w:t>обучающихся 11 класса</w:t>
      </w:r>
    </w:p>
    <w:p>
      <w:pPr>
        <w:pStyle w:val="Normal"/>
        <w:ind w:firstLine="567"/>
        <w:jc w:val="both"/>
        <w:rPr>
          <w:rFonts w:eastAsia="Times New Roman"/>
          <w:i/>
          <w:i/>
          <w:iCs/>
          <w:color w:val="000000"/>
          <w:sz w:val="22"/>
          <w:szCs w:val="20"/>
        </w:rPr>
      </w:pPr>
      <w:r>
        <w:rPr>
          <w:rFonts w:eastAsia="Times New Roman"/>
          <w:i/>
          <w:iCs/>
          <w:color w:val="000000"/>
          <w:sz w:val="22"/>
          <w:szCs w:val="20"/>
        </w:rPr>
        <w:t>Таблица 1</w:t>
      </w:r>
    </w:p>
    <w:p>
      <w:pPr>
        <w:pStyle w:val="Normal"/>
        <w:jc w:val="both"/>
        <w:rPr>
          <w:rFonts w:eastAsia="Times New Roman"/>
          <w:iCs/>
          <w:color w:val="000000"/>
          <w:sz w:val="22"/>
          <w:szCs w:val="20"/>
        </w:rPr>
      </w:pPr>
      <w:r>
        <w:rPr>
          <w:rFonts w:eastAsia="Times New Roman"/>
          <w:iCs/>
          <w:color w:val="000000"/>
          <w:sz w:val="22"/>
          <w:szCs w:val="20"/>
        </w:rPr>
      </w:r>
    </w:p>
    <w:tbl>
      <w:tblPr>
        <w:tblW w:w="9360" w:type="dxa"/>
        <w:jc w:val="left"/>
        <w:tblInd w:w="1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65"/>
        <w:gridCol w:w="1905"/>
        <w:gridCol w:w="1845"/>
        <w:gridCol w:w="1560"/>
        <w:gridCol w:w="2085"/>
      </w:tblGrid>
      <w:tr>
        <w:trPr/>
        <w:tc>
          <w:tcPr>
            <w:tcW w:w="5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szCs w:val="20"/>
              </w:rPr>
              <w:t>Количество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bCs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bCs/>
                <w:iCs/>
                <w:color w:val="000000"/>
                <w:sz w:val="22"/>
                <w:szCs w:val="20"/>
              </w:rPr>
              <w:t>%</w:t>
            </w:r>
          </w:p>
        </w:tc>
      </w:tr>
      <w:tr>
        <w:trPr/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b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szCs w:val="20"/>
              </w:rPr>
              <w:t>Требования</w:t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Требование № 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20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100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b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b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Требование № 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20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100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b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0</w:t>
            </w:r>
          </w:p>
        </w:tc>
      </w:tr>
      <w:tr>
        <w:trPr/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b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szCs w:val="20"/>
              </w:rPr>
              <w:t>Критерии</w:t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Критерий № 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20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100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Критерий № 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19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95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5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Критерий № 3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18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90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2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10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Критерий № 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17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85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3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15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Критерий № 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15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75</w:t>
            </w:r>
          </w:p>
        </w:tc>
      </w:tr>
      <w:tr>
        <w:trPr/>
        <w:tc>
          <w:tcPr>
            <w:tcW w:w="19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9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Незачет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5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iCs/>
                <w:color w:val="000000"/>
                <w:sz w:val="22"/>
                <w:szCs w:val="20"/>
              </w:rPr>
            </w:pPr>
            <w:r>
              <w:rPr>
                <w:rFonts w:eastAsia="Times New Roman"/>
                <w:iCs/>
                <w:color w:val="000000"/>
                <w:sz w:val="22"/>
                <w:szCs w:val="20"/>
              </w:rPr>
              <w:t>25</w:t>
            </w:r>
          </w:p>
        </w:tc>
      </w:tr>
    </w:tbl>
    <w:p>
      <w:pPr>
        <w:pStyle w:val="Normal"/>
        <w:jc w:val="both"/>
        <w:rPr>
          <w:rFonts w:eastAsia="Times New Roman"/>
          <w:i/>
          <w:i/>
          <w:iCs/>
          <w:color w:val="000000"/>
          <w:sz w:val="22"/>
          <w:szCs w:val="20"/>
        </w:rPr>
      </w:pPr>
      <w:r>
        <w:rPr>
          <w:rFonts w:eastAsia="Times New Roman"/>
          <w:i/>
          <w:iCs/>
          <w:color w:val="000000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color w:val="000000"/>
          <w:sz w:val="22"/>
          <w:szCs w:val="20"/>
        </w:rPr>
      </w:pPr>
      <w:r>
        <w:rPr>
          <w:rFonts w:eastAsia="Times New Roman"/>
          <w:color w:val="000000"/>
          <w:sz w:val="22"/>
          <w:szCs w:val="20"/>
        </w:rPr>
        <w:t>Данные таблицы 1 наглядно представлены в диаграмме 1.</w:t>
      </w:r>
    </w:p>
    <w:p>
      <w:pPr>
        <w:pStyle w:val="Normal"/>
        <w:ind w:firstLine="567"/>
        <w:jc w:val="both"/>
        <w:rPr>
          <w:rFonts w:eastAsia="Times New Roman"/>
          <w:color w:val="000000"/>
          <w:sz w:val="22"/>
          <w:szCs w:val="20"/>
        </w:rPr>
      </w:pPr>
      <w:r>
        <w:rPr>
          <w:rFonts w:eastAsia="Times New Roman"/>
          <w:color w:val="000000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 xml:space="preserve">Результат </w:t>
      </w:r>
      <w:r>
        <w:rPr>
          <w:rFonts w:eastAsia="Times New Roman"/>
          <w:b/>
          <w:iCs/>
          <w:color w:val="000000"/>
          <w:sz w:val="22"/>
          <w:szCs w:val="20"/>
        </w:rPr>
        <w:t>проверки по требованиям и критериям</w:t>
      </w:r>
      <w:r>
        <w:rPr>
          <w:rFonts w:eastAsia="Times New Roman"/>
          <w:b/>
          <w:color w:val="000000"/>
          <w:sz w:val="22"/>
          <w:szCs w:val="20"/>
        </w:rPr>
        <w:t xml:space="preserve"> итогового сочинения (изложения) </w:t>
      </w:r>
      <w:r>
        <w:rPr>
          <w:rFonts w:eastAsia="Times New Roman"/>
          <w:b/>
          <w:sz w:val="22"/>
          <w:szCs w:val="20"/>
        </w:rPr>
        <w:t>обучающихся 11 класса</w:t>
      </w:r>
    </w:p>
    <w:p>
      <w:pPr>
        <w:pStyle w:val="Normal"/>
        <w:ind w:firstLine="567"/>
        <w:jc w:val="both"/>
        <w:rPr>
          <w:rFonts w:eastAsia="Times New Roman"/>
          <w:i/>
          <w:i/>
          <w:iCs/>
          <w:color w:val="000000"/>
          <w:sz w:val="22"/>
          <w:szCs w:val="20"/>
        </w:rPr>
      </w:pPr>
      <w:r>
        <w:rPr>
          <w:rFonts w:eastAsia="Times New Roman"/>
          <w:i/>
          <w:iCs/>
          <w:color w:val="000000"/>
          <w:sz w:val="22"/>
          <w:szCs w:val="20"/>
        </w:rPr>
        <w:t>Диаграмма 1</w:t>
      </w:r>
    </w:p>
    <w:p>
      <w:pPr>
        <w:pStyle w:val="Normal"/>
        <w:ind w:firstLine="567"/>
        <w:jc w:val="both"/>
        <w:rPr>
          <w:rFonts w:eastAsia="Times New Roman"/>
          <w:i/>
          <w:i/>
          <w:iCs/>
          <w:color w:val="000000"/>
          <w:sz w:val="22"/>
          <w:szCs w:val="20"/>
        </w:rPr>
      </w:pPr>
      <w:r>
        <w:rPr/>
        <w:drawing>
          <wp:inline distT="0" distB="0" distL="0" distR="0">
            <wp:extent cx="2981325" cy="178181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color w:val="000000"/>
          <w:sz w:val="22"/>
          <w:szCs w:val="20"/>
        </w:rPr>
        <w:t xml:space="preserve">Представленные выше таблица и диаграмма позволяют увидеть, что все обучающиеся 11 класса  получили </w:t>
      </w:r>
      <w:r>
        <w:rPr>
          <w:sz w:val="22"/>
        </w:rPr>
        <w:t>«зачет».</w:t>
      </w:r>
      <w:r>
        <w:rPr>
          <w:rFonts w:eastAsia="Times New Roman"/>
          <w:color w:val="000000"/>
          <w:sz w:val="22"/>
          <w:szCs w:val="20"/>
        </w:rPr>
        <w:t xml:space="preserve">  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Написание сочинения проверяет умение создавать собственное связное высказывание на заданную тему с опорой на литературный материал. При этом особое внимание уделяется умению выпускника грамотно аргументировать свои мысли и утверждения.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Подходы к разработке формулировок тем итогового сочинения определяются </w:t>
      </w:r>
      <w:r>
        <w:rPr>
          <w:rFonts w:eastAsia="Times New Roman"/>
          <w:bCs/>
          <w:sz w:val="22"/>
          <w:szCs w:val="20"/>
        </w:rPr>
        <w:t>задачами: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 Выявить уровень речевой культуры выпускника, его начитанность, личностную зрелость и умение рассуждать по выбранной теме.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2. Проверить речевые компетенции обучающегося, умение обращаться к литературному материалу, выбирать наиболее соответствующее проблематике сочинения произведение(я) для раскрытия темы.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3. Оценить практическую грамотность выпускника и фактическую точность его письменной речи.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Исходя из задач формируются </w:t>
      </w:r>
      <w:r>
        <w:rPr>
          <w:rFonts w:eastAsia="Times New Roman"/>
          <w:bCs/>
          <w:sz w:val="22"/>
          <w:szCs w:val="20"/>
        </w:rPr>
        <w:t>цели</w:t>
      </w:r>
      <w:r>
        <w:rPr>
          <w:rFonts w:eastAsia="Times New Roman"/>
          <w:sz w:val="22"/>
          <w:szCs w:val="20"/>
        </w:rPr>
        <w:t xml:space="preserve">: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 Проверка широты кругозора, умения мыслить и доказывать свою позицию с опорой на самостоятельно выбранные произведения отечественной и мировой литературы.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2. Владение речью.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3. Содействие формирования самосознания учащегося, развитие его речевой и читательской культуры.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Обучающимся был предложен следующий комплект тем сочинений для проведения итогового сочинения в текущем учебном году 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 xml:space="preserve">Комплект тем итогового сочинения </w:t>
      </w:r>
    </w:p>
    <w:p>
      <w:pPr>
        <w:pStyle w:val="Normal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</w:r>
    </w:p>
    <w:tbl>
      <w:tblPr>
        <w:tblW w:w="18316" w:type="dxa"/>
        <w:jc w:val="left"/>
        <w:tblInd w:w="-733" w:type="dxa"/>
        <w:tblLayout w:type="fixed"/>
        <w:tblCellMar>
          <w:top w:w="28" w:type="dxa"/>
          <w:left w:w="113" w:type="dxa"/>
          <w:bottom w:w="28" w:type="dxa"/>
          <w:right w:w="57" w:type="dxa"/>
        </w:tblCellMar>
        <w:tblLook w:val="00a0"/>
      </w:tblPr>
      <w:tblGrid>
        <w:gridCol w:w="1245"/>
        <w:gridCol w:w="6409"/>
        <w:gridCol w:w="10662"/>
      </w:tblGrid>
      <w:tr>
        <w:trPr>
          <w:trHeight w:val="256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b/>
                <w:bCs/>
                <w:sz w:val="22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0"/>
              </w:rPr>
              <w:t xml:space="preserve">НОМЕР </w:t>
            </w:r>
          </w:p>
        </w:tc>
        <w:tc>
          <w:tcPr>
            <w:tcW w:w="6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ind w:firstLine="567"/>
              <w:jc w:val="both"/>
              <w:rPr>
                <w:rFonts w:eastAsia="Times New Roman"/>
                <w:b/>
                <w:b/>
                <w:sz w:val="22"/>
                <w:szCs w:val="20"/>
              </w:rPr>
            </w:pPr>
            <w:r>
              <w:rPr>
                <w:rFonts w:eastAsia="Times New Roman"/>
                <w:b/>
                <w:sz w:val="22"/>
                <w:szCs w:val="20"/>
              </w:rPr>
              <w:t>ТЕМА</w:t>
            </w:r>
          </w:p>
        </w:tc>
        <w:tc>
          <w:tcPr>
            <w:tcW w:w="10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lineRule="atLeast" w:line="100" w:before="0" w:after="0"/>
              <w:ind w:left="0" w:right="454" w:firstLine="567"/>
              <w:jc w:val="both"/>
              <w:rPr>
                <w:rFonts w:eastAsia="Times New Roman"/>
                <w:b/>
                <w:b/>
                <w:sz w:val="22"/>
                <w:szCs w:val="20"/>
              </w:rPr>
            </w:pPr>
            <w:r>
              <w:rPr>
                <w:rFonts w:eastAsia="Times New Roman"/>
                <w:b/>
                <w:sz w:val="22"/>
                <w:szCs w:val="20"/>
              </w:rPr>
            </w:r>
          </w:p>
        </w:tc>
      </w:tr>
      <w:tr>
        <w:trPr>
          <w:trHeight w:val="533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109</w:t>
            </w:r>
          </w:p>
        </w:tc>
        <w:tc>
          <w:tcPr>
            <w:tcW w:w="6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Как вы понимает слова Пьера Безухова:»Надо жить, надо любить, надо верить…»?</w:t>
            </w:r>
          </w:p>
        </w:tc>
        <w:tc>
          <w:tcPr>
            <w:tcW w:w="10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0 человек, 0%</w:t>
            </w:r>
          </w:p>
        </w:tc>
      </w:tr>
      <w:tr>
        <w:trPr>
          <w:trHeight w:val="306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8"/>
              </w:rPr>
            </w:pPr>
            <w:r>
              <w:rPr>
                <w:sz w:val="22"/>
              </w:rPr>
              <w:t>211</w:t>
            </w:r>
          </w:p>
        </w:tc>
        <w:tc>
          <w:tcPr>
            <w:tcW w:w="6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Верно ли, что надежда делает человека сильнее?</w:t>
            </w:r>
          </w:p>
        </w:tc>
        <w:tc>
          <w:tcPr>
            <w:tcW w:w="10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6 человек, 30%</w:t>
            </w:r>
          </w:p>
        </w:tc>
      </w:tr>
      <w:tr>
        <w:trPr>
          <w:trHeight w:val="469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8"/>
              </w:rPr>
            </w:pPr>
            <w:r>
              <w:rPr>
                <w:sz w:val="22"/>
              </w:rPr>
              <w:t>301</w:t>
            </w:r>
          </w:p>
        </w:tc>
        <w:tc>
          <w:tcPr>
            <w:tcW w:w="6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Почему так трудно отвечать добром на зло?</w:t>
            </w:r>
          </w:p>
        </w:tc>
        <w:tc>
          <w:tcPr>
            <w:tcW w:w="10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10 человек, 50%</w:t>
            </w:r>
          </w:p>
        </w:tc>
      </w:tr>
      <w:tr>
        <w:trPr>
          <w:trHeight w:val="469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8"/>
              </w:rPr>
            </w:pPr>
            <w:r>
              <w:rPr>
                <w:sz w:val="22"/>
              </w:rPr>
              <w:t>413</w:t>
            </w:r>
          </w:p>
        </w:tc>
        <w:tc>
          <w:tcPr>
            <w:tcW w:w="6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В чем разница между смирением и покорностью?</w:t>
            </w:r>
          </w:p>
        </w:tc>
        <w:tc>
          <w:tcPr>
            <w:tcW w:w="10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2 человека, 10 %</w:t>
            </w:r>
          </w:p>
        </w:tc>
      </w:tr>
      <w:tr>
        <w:trPr>
          <w:trHeight w:val="486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8"/>
              </w:rPr>
            </w:pPr>
            <w:r>
              <w:rPr>
                <w:sz w:val="22"/>
              </w:rPr>
              <w:t>505</w:t>
            </w:r>
          </w:p>
        </w:tc>
        <w:tc>
          <w:tcPr>
            <w:tcW w:w="6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Всегда ли он достоин ее?</w:t>
            </w:r>
          </w:p>
        </w:tc>
        <w:tc>
          <w:tcPr>
            <w:tcW w:w="10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jc w:val="both"/>
              <w:rPr>
                <w:sz w:val="22"/>
              </w:rPr>
            </w:pPr>
            <w:r>
              <w:rPr>
                <w:sz w:val="22"/>
              </w:rPr>
              <w:t>2 человека, 10%</w:t>
            </w:r>
          </w:p>
        </w:tc>
      </w:tr>
    </w:tbl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b/>
          <w:b/>
          <w:sz w:val="22"/>
        </w:rPr>
      </w:pPr>
      <w:r>
        <w:rPr>
          <w:b/>
          <w:sz w:val="22"/>
        </w:rPr>
        <w:t>Выбор тем итогового сочинения</w:t>
      </w:r>
    </w:p>
    <w:p>
      <w:pPr>
        <w:pStyle w:val="Normal"/>
        <w:jc w:val="both"/>
        <w:rPr>
          <w:b/>
          <w:b/>
          <w:sz w:val="22"/>
        </w:rPr>
      </w:pPr>
      <w:r>
        <w:rPr>
          <w:b/>
          <w:sz w:val="22"/>
        </w:rPr>
        <w:t>выпускниками 11 класса «А»</w:t>
      </w:r>
    </w:p>
    <w:p>
      <w:pPr>
        <w:pStyle w:val="Normal"/>
        <w:tabs>
          <w:tab w:val="left" w:pos="708" w:leader="none"/>
          <w:tab w:val="left" w:pos="9810" w:leader="none"/>
        </w:tabs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>Из таблицы видно, что 10 обучающихся выбрали тему № 301. Самая непопулярная тема – № 109, ее не выбрали,.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Работы проверялись в соответствии с критериями оценивания, утвержденными Федеральной службой по надзору в сфере образования и науки.</w:t>
      </w:r>
    </w:p>
    <w:p>
      <w:pPr>
        <w:pStyle w:val="Normal"/>
        <w:jc w:val="both"/>
        <w:rPr>
          <w:b/>
          <w:b/>
          <w:sz w:val="22"/>
        </w:rPr>
      </w:pPr>
      <w:r>
        <w:rPr>
          <w:b/>
          <w:sz w:val="22"/>
        </w:rPr>
        <w:t>Критерии оценивания итогового сочинения организациями, реализующими образовательные программы среднего общего образования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К проверке по критериям оценивания допускаются итоговые сочинения, соответствующие установленным требованиям.</w:t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Требование № 1. Объем итогового сочинения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Рекомендуемое количество слов – от 350.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Максимальное количество слов в сочинении не устанавливается. Если в сочинении менее 250 слов (в подсчет включаются все слова, в том числе и служебные), то выставляется «незачет» за невыполнение требования № 1 и «незачет» за работу в целом (такое сочинение не проверяется по критериям оценивания).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Требование № 2. Самостоятельность написания итогового сочинения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Итоговое сочинение выполняется самостоятельно. Не допускается списывание сочинения (фрагментов сочинения) из какого-либо источника или воспроизведение по памяти чужого текста (работа другого участника, текст, опубликованный в бумажном и (или) электронном виде, и др.).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Допускается прямое или косвенное цитирование с обязательной ссылкой на источник (ссылка дается в свободной форме). Объем цитирования не должен превышать объема собственного текста участника.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Если сочинение признано несамостоятельным, то выставляется «незачет» за невыполнение требования № 2 и «незачет» за работу в целом (такое сочинение не проверяется по критериям оценивания).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Итоговое сочинение, соответствующее установленным требованиям, оценивается по критериям: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 Соответствие теме.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2. Аргументация. Привлечение литературного материала.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3. Композиция и логика рассуждения.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4. Качество письменной речи.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5. Грамотность.</w:t>
      </w:r>
    </w:p>
    <w:p>
      <w:pPr>
        <w:pStyle w:val="Normal"/>
        <w:spacing w:before="0" w:after="0"/>
        <w:ind w:firstLine="567"/>
        <w:contextualSpacing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Критерии № 1 и № 2 являются основными.</w:t>
      </w:r>
      <w:r>
        <w:rPr>
          <w:rFonts w:eastAsia="Times New Roman"/>
          <w:i/>
          <w:sz w:val="22"/>
          <w:szCs w:val="20"/>
        </w:rPr>
        <w:t xml:space="preserve">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Для получения «зачета» за итоговое сочинение необходимо получить «зачет» по критериям № 1 и № 2 (выставление «незачета» по одному из этих критериев автоматически ведет к «незачету» за работу в целом), а также дополнительно «зачет» по одному из других критериев.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Критерий № 1. Соответствие теме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Данный критерий нацеливает на проверку содержания сочинения.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Участник должен рассуждать на предложенную тему, выбрав путь ее раскрытия (например, отвечает на вопрос, поставленный в теме, или размышляет над предложенной проблемой и т. п.).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«Незачет» ставится только в случае, если сочинение не соответствует теме или в нем не прослеживается конкретной цели высказывания, то есть коммуникативного замысла. Во всех остальных случаях выставляется «зачет».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Критерий № 2. Аргументация. Привлечение литературного материала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Данный критерий нацеливает на проверку умения использовать литературный материал (художественные произведения, дневники, мемуары, публицистику, произведения устного народного творчества (за исключением малых жанров), другие литературные источники) для аргументации своей позиции.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Участник должен строить рассуждение, привлекая для аргументации не менее одного произведения отечественной или мировой литературы, избирая свой путь использования литературного материала; при этом он может показать разный уровень осмысления художественного текста: от элементов смыслового анализа (например, тематика, проблематика, сюжет, характеры и т. п.) до комплексного анализа произведения в единстве формы и содержания и его интерпретации в аспекте выбранной темы.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«Незачет» ставится при условии, если сочинение написано без привлечения литературного материала, или в нем существенно искажено содержание произведения, или литературные произведения лишь упоминаются в работе, не становясь опорой для аргументации. Во всех остальных случаях выставляется «зачет».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Критерий № 3. Композиция и логика рассуждения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Данный критерий нацеливает на проверку умения логично выстраивать рассуждение на предложенную тему. Участник должен выдерживать соотношение между тезисом и доказательствами.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«Незачет» ставится, если грубые логические нарушения мешают пониманию смысла сказанного или отсутствует тезисно-доказательная часть. Во всех остальных случаях выставляется «зачет».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Критерий № 4. Качество письменной речи</w:t>
      </w:r>
    </w:p>
    <w:p>
      <w:pPr>
        <w:pStyle w:val="Normal"/>
        <w:widowControl w:val="false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Данный критерий нацеливает на проверку речевого оформления текста сочинения.</w:t>
      </w:r>
    </w:p>
    <w:p>
      <w:pPr>
        <w:pStyle w:val="Normal"/>
        <w:widowControl w:val="false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Участник должен точно выражать мысли, используя разнообразную лексику и различные грамматические конструкции, при необходимости уместно употреблять термины. </w:t>
      </w:r>
    </w:p>
    <w:p>
      <w:pPr>
        <w:pStyle w:val="Normal"/>
        <w:widowControl w:val="false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«Незачет» ставится при условии, если низкое качество речи (в том числе речевые ошибки) существенно затрудняет понимание смысла сочинения. Во всех остальных случаях выставляется «зачет».</w:t>
      </w:r>
    </w:p>
    <w:p>
      <w:pPr>
        <w:pStyle w:val="Normal"/>
        <w:widowControl w:val="false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widowControl w:val="false"/>
        <w:ind w:firstLine="567"/>
        <w:jc w:val="both"/>
        <w:rPr>
          <w:rFonts w:eastAsia="Times New Roman"/>
          <w:b/>
          <w:b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Критерий № 5. «Грамотность»</w:t>
      </w:r>
    </w:p>
    <w:p>
      <w:pPr>
        <w:pStyle w:val="Normal"/>
        <w:widowControl w:val="false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Данный критерий позволяет оценить грамотность выпускника.</w:t>
      </w:r>
    </w:p>
    <w:p>
      <w:pPr>
        <w:pStyle w:val="Normal"/>
        <w:widowControl w:val="false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«Незачет» ставится при условии, если на 100 слов приходится в сумме более пяти ошибок: грамматических, орфографических, пунктуационных.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widowControl w:val="false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>Анализ сочинений по критерию № 1 «Соответствие теме»</w:t>
      </w:r>
    </w:p>
    <w:p>
      <w:pPr>
        <w:pStyle w:val="Normal"/>
        <w:widowControl w:val="false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Критерий № 1 является важнейшим: выпускник должен откликнуться на предложенную задачу, избежать ее подмены, выбрать свой путь рассуждения, сформулировав тезисы, которые предстоит аргументированно раскрыть. С этой задачей справились</w:t>
      </w:r>
      <w:r>
        <w:rPr>
          <w:rFonts w:eastAsia="Times New Roman"/>
          <w:b/>
          <w:bCs/>
          <w:sz w:val="22"/>
          <w:szCs w:val="20"/>
        </w:rPr>
        <w:t xml:space="preserve"> </w:t>
      </w:r>
      <w:r>
        <w:rPr>
          <w:rFonts w:eastAsia="Times New Roman"/>
          <w:bCs/>
          <w:sz w:val="22"/>
          <w:szCs w:val="20"/>
        </w:rPr>
        <w:t xml:space="preserve">все обучающиеся на </w:t>
      </w:r>
      <w:r>
        <w:rPr>
          <w:rFonts w:eastAsia="Times New Roman"/>
          <w:b/>
          <w:bCs/>
          <w:i/>
          <w:color w:val="FF0000"/>
          <w:sz w:val="22"/>
          <w:szCs w:val="20"/>
        </w:rPr>
        <w:t>100</w:t>
      </w:r>
      <w:r>
        <w:rPr>
          <w:rFonts w:eastAsia="Times New Roman"/>
          <w:bCs/>
          <w:sz w:val="22"/>
          <w:szCs w:val="20"/>
        </w:rPr>
        <w:t>%.</w:t>
      </w:r>
      <w:r>
        <w:rPr>
          <w:rFonts w:eastAsia="Times New Roman"/>
          <w:b/>
          <w:bCs/>
          <w:sz w:val="22"/>
          <w:szCs w:val="20"/>
        </w:rPr>
        <w:t xml:space="preserve"> </w:t>
      </w:r>
      <w:r>
        <w:rPr>
          <w:rFonts w:eastAsia="Times New Roman"/>
          <w:sz w:val="22"/>
          <w:szCs w:val="20"/>
        </w:rPr>
        <w:t>Выпускники размышляют над предложенной проблемой, строят высказывание на основе связанных с темой тезисов, опираясь на художественные произведения, избегая при этом пересказа. Литературный материал используется как основа для собственных размышлений.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  <w:lang w:eastAsia="en-US"/>
        </w:rPr>
      </w:pPr>
      <w:r>
        <w:rPr>
          <w:rFonts w:eastAsia="Times New Roman"/>
          <w:sz w:val="22"/>
          <w:szCs w:val="20"/>
          <w:lang w:eastAsia="en-US"/>
        </w:rPr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  <w:t>Анализ сочинений по критерию № 2 «Аргументация. Привлечение литературного материала»</w:t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>Анализ представленных работ показал, что все учащиеся построили свои рассуждения на основе литературного материала. Большинство из них привело в качестве доказательств не менее двух произведений.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По критерию № 2 «зачет» получили 95 </w:t>
      </w:r>
      <w:r>
        <w:rPr>
          <w:bCs/>
          <w:sz w:val="22"/>
        </w:rPr>
        <w:t>%</w:t>
      </w:r>
      <w:r>
        <w:rPr>
          <w:sz w:val="22"/>
        </w:rPr>
        <w:t xml:space="preserve"> обучающихся 11 класса.</w:t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  <w:t>Анализ сочинений по критерию № 3 «Композиция и логика рассуждения»</w:t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Умение логично выстраивать рассуждение на предложенную тему, выдерживать композиционное единство сочинения-рассуждения смогла продемонстрировать большая часть выпускников. Грубых логических ошибок, мешающих пониманию смысла высказывания, в работах участников сочинения не отмечено. Работы учащихся отличаются целостностью, стройностью композиции: вступление, тезисно-доказательная часть, заключение тесно связаны между собой. Получили «зачет» по этому критерию 90 </w:t>
      </w:r>
      <w:r>
        <w:rPr>
          <w:bCs/>
          <w:sz w:val="22"/>
        </w:rPr>
        <w:t>% выпускников</w:t>
      </w:r>
      <w:r>
        <w:rPr>
          <w:sz w:val="22"/>
        </w:rPr>
        <w:t>.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 </w:t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  <w:t>Анализ сочинений по критерию № 4 «Качество письменной речи»</w:t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>Подавляющее большинство учащихся владеет навыком построения сочинения-рассуждения, не допускает ошибок в композиции и логике высказывания, умеет грамотно использовать литературоведческие термины в соответствии с коммуникативным замыслом высказывания.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«Зачет» по данному критерию получили 85 %</w:t>
      </w:r>
      <w:r>
        <w:rPr>
          <w:bCs/>
          <w:sz w:val="22"/>
        </w:rPr>
        <w:t xml:space="preserve"> </w:t>
      </w:r>
      <w:r>
        <w:rPr>
          <w:sz w:val="22"/>
        </w:rPr>
        <w:t xml:space="preserve">обучающихся 11  класса 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>К недостаткам по данному критерию можно отнести следующие: отдельные работы демонстрируют примитивность письменной речи, однообразие синтаксических конструкций, низкий уровень речевой грамотности, неточность изложения фактического материала. Наиболее частые речевые ошибки: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– </w:t>
      </w:r>
      <w:r>
        <w:rPr>
          <w:sz w:val="22"/>
          <w:szCs w:val="20"/>
        </w:rPr>
        <w:t>неудачное словоупотребление;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– </w:t>
      </w:r>
      <w:r>
        <w:rPr>
          <w:sz w:val="22"/>
          <w:szCs w:val="20"/>
        </w:rPr>
        <w:t>употребление слов в несвойственных им значениях;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– </w:t>
      </w:r>
      <w:r>
        <w:rPr>
          <w:sz w:val="22"/>
          <w:szCs w:val="20"/>
        </w:rPr>
        <w:t>плеоназм;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– </w:t>
      </w:r>
      <w:r>
        <w:rPr>
          <w:sz w:val="22"/>
          <w:szCs w:val="20"/>
        </w:rPr>
        <w:t>тавтология;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– </w:t>
      </w:r>
      <w:r>
        <w:rPr>
          <w:sz w:val="22"/>
          <w:szCs w:val="20"/>
        </w:rPr>
        <w:t>лексическая избыточность (неоправданное усложнение фраз).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</w:r>
    </w:p>
    <w:p>
      <w:pPr>
        <w:pStyle w:val="Normal"/>
        <w:ind w:firstLine="567"/>
        <w:jc w:val="both"/>
        <w:rPr>
          <w:b/>
          <w:b/>
          <w:sz w:val="22"/>
          <w:szCs w:val="20"/>
        </w:rPr>
      </w:pPr>
      <w:r>
        <w:rPr>
          <w:b/>
          <w:sz w:val="22"/>
          <w:szCs w:val="20"/>
        </w:rPr>
        <w:t>Анализ сочинений по критерию № 5 «Грамотность»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Экспертами комиссий отмечен низкий уровень грамотности в ряде работ участников итогового сочинения.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Получили «незачет» (то есть допустили более 5 ошибок на 100 слов) по данному критерию </w:t>
      </w:r>
      <w:r>
        <w:rPr>
          <w:sz w:val="22"/>
        </w:rPr>
        <w:t xml:space="preserve">5 человек (25 </w:t>
      </w:r>
      <w:r>
        <w:rPr>
          <w:rFonts w:eastAsia="Times New Roman"/>
          <w:sz w:val="22"/>
          <w:szCs w:val="20"/>
        </w:rPr>
        <w:t>% от общего количества участников итогового сочинения (изложения)).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Типичные орфографические ошибки, допущенные учащимися: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НЕ с разными частями речи;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 xml:space="preserve">ошибки в написании производных союзов;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нарушение согласования и управления;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ошибки в построении предложения с однородными членами, с деепричастными и причастными оборотами;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написание усилительной частицы НИ и др.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Типичные пунктуационные ошибки, допущенные учащимися: наиболее частые ошибки связаны с темами «Пунктуация в предложениях с вводными конструкциями, с однородными членами», «Пунктуация в предложениях с обособленными второстепенными членами», «Пунктуация в сложных предложениях, состоящих из нескольких частей».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Типичные грамматические ошибки, допущенные учащимися: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нарушение согласования и управления;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ошибки в построении предложения с однородными членами, с деепричастными и причастными оборотами;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нарушение границ предложения; неоправданный пропуск подлежащего;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– </w:t>
      </w:r>
      <w:r>
        <w:rPr>
          <w:rFonts w:eastAsia="Times New Roman"/>
          <w:sz w:val="22"/>
          <w:szCs w:val="20"/>
        </w:rPr>
        <w:t>объединение синтаксической связью разнотипных синтаксических единиц.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В отдельную категорию выделяются </w:t>
      </w:r>
      <w:r>
        <w:rPr>
          <w:rFonts w:eastAsia="Times New Roman"/>
          <w:bCs/>
          <w:sz w:val="22"/>
          <w:szCs w:val="20"/>
        </w:rPr>
        <w:t>графические ошибки</w:t>
      </w:r>
      <w:r>
        <w:rPr>
          <w:rFonts w:eastAsia="Times New Roman"/>
          <w:sz w:val="22"/>
          <w:szCs w:val="20"/>
        </w:rPr>
        <w:t>, то есть различные описки, вызванные невнимательностью пишущего или поспешностью написания. Например, неправильные написания, искажающие звуковой облик слова (</w:t>
      </w:r>
      <w:r>
        <w:rPr>
          <w:rFonts w:eastAsia="Times New Roman"/>
          <w:i/>
          <w:iCs/>
          <w:sz w:val="22"/>
          <w:szCs w:val="20"/>
        </w:rPr>
        <w:t>рапотает</w:t>
      </w:r>
      <w:r>
        <w:rPr>
          <w:rFonts w:eastAsia="Times New Roman"/>
          <w:sz w:val="22"/>
          <w:szCs w:val="20"/>
        </w:rPr>
        <w:t xml:space="preserve"> вместо </w:t>
      </w:r>
      <w:r>
        <w:rPr>
          <w:rFonts w:eastAsia="Times New Roman"/>
          <w:i/>
          <w:iCs/>
          <w:sz w:val="22"/>
          <w:szCs w:val="20"/>
        </w:rPr>
        <w:t>работает</w:t>
      </w:r>
      <w:r>
        <w:rPr>
          <w:rFonts w:eastAsia="Times New Roman"/>
          <w:sz w:val="22"/>
          <w:szCs w:val="20"/>
        </w:rPr>
        <w:t xml:space="preserve">, </w:t>
      </w:r>
      <w:r>
        <w:rPr>
          <w:rFonts w:eastAsia="Times New Roman"/>
          <w:i/>
          <w:iCs/>
          <w:sz w:val="22"/>
          <w:szCs w:val="20"/>
        </w:rPr>
        <w:t>мемля</w:t>
      </w:r>
      <w:r>
        <w:rPr>
          <w:rFonts w:eastAsia="Times New Roman"/>
          <w:sz w:val="22"/>
          <w:szCs w:val="20"/>
        </w:rPr>
        <w:t xml:space="preserve"> вместо </w:t>
      </w:r>
      <w:r>
        <w:rPr>
          <w:rFonts w:eastAsia="Times New Roman"/>
          <w:i/>
          <w:iCs/>
          <w:sz w:val="22"/>
          <w:szCs w:val="20"/>
        </w:rPr>
        <w:t>земля</w:t>
      </w:r>
      <w:r>
        <w:rPr>
          <w:rFonts w:eastAsia="Times New Roman"/>
          <w:sz w:val="22"/>
          <w:szCs w:val="20"/>
        </w:rPr>
        <w:t xml:space="preserve">). Эти ошибки связаны с графикой, то есть средствами письменности данного языка, фиксирующими отношения между буквами на письме и звуками устной речи. К графическим средствам помимо букв относятся различные приемы сокращения слов, использование пробелов между словами, различные подчеркивания и шрифтовые выделения. 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Одиночные графические ошибки не учитываются при проверке, но если таких ошибок больше 5 на 100 слов, то работу следует признать неграмотной.</w:t>
      </w:r>
    </w:p>
    <w:p>
      <w:pPr>
        <w:pStyle w:val="Normal"/>
        <w:ind w:firstLine="567"/>
        <w:jc w:val="both"/>
        <w:rPr>
          <w:sz w:val="22"/>
          <w:szCs w:val="20"/>
        </w:rPr>
      </w:pPr>
      <w:r>
        <w:rPr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>Выводы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В написании </w:t>
      </w:r>
      <w:r>
        <w:rPr>
          <w:rFonts w:eastAsia="Times New Roman"/>
          <w:color w:val="000000"/>
          <w:sz w:val="22"/>
          <w:szCs w:val="20"/>
        </w:rPr>
        <w:t xml:space="preserve">тренировочного итогового сочинения (изложения) </w:t>
      </w:r>
      <w:r>
        <w:rPr>
          <w:rFonts w:eastAsia="Times New Roman"/>
          <w:sz w:val="22"/>
          <w:szCs w:val="20"/>
        </w:rPr>
        <w:t xml:space="preserve">по русскому языку </w:t>
      </w:r>
      <w:r>
        <w:rPr>
          <w:sz w:val="22"/>
        </w:rPr>
        <w:t>участвовали 20 обучающихся 11  класса, что составило 100% от о</w:t>
      </w:r>
      <w:r>
        <w:rPr>
          <w:rFonts w:eastAsia="Times New Roman"/>
          <w:sz w:val="22"/>
          <w:szCs w:val="20"/>
        </w:rPr>
        <w:t>бщего количества выпускников.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  <w:t>Рекомендации</w:t>
      </w:r>
    </w:p>
    <w:p>
      <w:pPr>
        <w:pStyle w:val="Normal"/>
        <w:ind w:firstLine="567"/>
        <w:jc w:val="both"/>
        <w:rPr>
          <w:rFonts w:eastAsia="Times New Roman"/>
          <w:b/>
          <w:b/>
          <w:bCs/>
          <w:sz w:val="22"/>
          <w:szCs w:val="20"/>
        </w:rPr>
      </w:pPr>
      <w:r>
        <w:rPr>
          <w:rFonts w:eastAsia="Times New Roman"/>
          <w:b/>
          <w:bCs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bCs/>
          <w:sz w:val="22"/>
          <w:szCs w:val="20"/>
        </w:rPr>
      </w:pPr>
      <w:r>
        <w:rPr>
          <w:rFonts w:eastAsia="Times New Roman"/>
          <w:bCs/>
          <w:sz w:val="22"/>
          <w:szCs w:val="20"/>
        </w:rPr>
        <w:t>1. Администрации ОО:</w:t>
      </w:r>
    </w:p>
    <w:p>
      <w:pPr>
        <w:pStyle w:val="Normal"/>
        <w:ind w:firstLine="567"/>
        <w:jc w:val="both"/>
        <w:rPr>
          <w:rFonts w:eastAsia="Times New Roman"/>
          <w:bCs/>
          <w:sz w:val="22"/>
          <w:szCs w:val="20"/>
        </w:rPr>
      </w:pPr>
      <w:r>
        <w:rPr>
          <w:rFonts w:eastAsia="Times New Roman"/>
          <w:bCs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1.1. Усилить контроль за продуктивной работой, ориентированной на качественный конечный результат по подготовке к ГИА.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1.2. Усилить внутришкольный контроль за работой по индивидуальным образовательным маршрутам с выпускниками с низкой мотивацией и выпускниками, способными к достижению максимального результата на ЕГЭ.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1.3. Организовать методическую поддержку учителей русского языка и литературы в подготовке высокомотивированных выпускников.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1.4. Проанализировать на методических совещаниях причины допущенных ошибок, внести соответствующие коррективы в план подготовки обучающихся к ГИА.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месяц.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1.5. Довести результаты итогового сочинения (изложения) до сведения родителей под подпись.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в течение семи дней.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color w:val="008000"/>
          <w:sz w:val="22"/>
          <w:szCs w:val="20"/>
        </w:rPr>
      </w:pPr>
      <w:r>
        <w:rPr>
          <w:rFonts w:eastAsia="Times New Roman"/>
          <w:sz w:val="22"/>
          <w:szCs w:val="20"/>
        </w:rPr>
        <w:t>2. Учителям русского языка и литературы:</w:t>
      </w:r>
    </w:p>
    <w:p>
      <w:pPr>
        <w:pStyle w:val="Normal"/>
        <w:tabs>
          <w:tab w:val="clear" w:pos="708"/>
          <w:tab w:val="left" w:pos="1440" w:leader="none"/>
        </w:tabs>
        <w:suppressAutoHyphens w:val="true"/>
        <w:ind w:firstLine="567"/>
        <w:jc w:val="both"/>
        <w:rPr>
          <w:rFonts w:eastAsia="Times New Roman"/>
          <w:color w:val="000000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2.1. Систематически проводить контроль за усвоением обучающимися изучаемого материала, </w:t>
      </w:r>
      <w:r>
        <w:rPr>
          <w:rFonts w:eastAsia="Times New Roman"/>
          <w:color w:val="000000"/>
          <w:sz w:val="22"/>
          <w:szCs w:val="20"/>
        </w:rPr>
        <w:t>продолжить работу по индивидуальным образовательным маршрутам по подготовке к итоговому сочинению (изложению) и ЕГЭ по русскому языку.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tabs>
          <w:tab w:val="clear" w:pos="708"/>
          <w:tab w:val="left" w:pos="1440" w:leader="none"/>
        </w:tabs>
        <w:suppressAutoHyphens w:val="true"/>
        <w:ind w:firstLine="567"/>
        <w:jc w:val="both"/>
        <w:rPr>
          <w:rFonts w:eastAsia="Times New Roman"/>
          <w:color w:val="000000"/>
          <w:sz w:val="22"/>
          <w:szCs w:val="20"/>
        </w:rPr>
      </w:pPr>
      <w:r>
        <w:rPr>
          <w:rFonts w:eastAsia="Times New Roman"/>
          <w:color w:val="000000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2.2. Осуществлять планомерную работу по устранению пробелов в знаниях учащихся. Продолжить обучение написанию сочинений разных жанров развивающего, исследовательского характера на уроках русского языка и литературы. На уроках развития речи по русскому языку и литературе систематически работать с текстовой информацией с целью формирования коммуникативной компетентности обучающихся: «погружаясь в текст», грамотно его интерпретировать, выделять разные виды информации и осознавать оригинальность авторской содержательно-концептуальной позиции, заявленной в тексте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>2.3. Расширить работу по анализу текста; наряду с правописными и грамматическими заданиями постоянно предусматривать вопросы на понимание содержания текста, авторской позиции, языковых средств связи, средств языковой выразительности; ввести в постоянную практику работы с текстом формирование корректного и аргументированного личного мнения учащихся о проблемах, поставленных автором, а также умения чувствовать подтекст.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  <w:t xml:space="preserve">2.4. Совершенствовать формы и методы проведения учебных занятий, использовать возможности индивидуального и дифференцированного обучения для организации процесса обучения. 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Срок: постоянно.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ind w:firstLine="567"/>
        <w:jc w:val="both"/>
        <w:rPr>
          <w:rFonts w:eastAsia="Times New Roman"/>
          <w:sz w:val="22"/>
          <w:szCs w:val="20"/>
        </w:rPr>
      </w:pPr>
      <w:r>
        <w:rPr>
          <w:rFonts w:eastAsia="Times New Roman"/>
          <w:sz w:val="22"/>
          <w:szCs w:val="20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Исполнитель: зам. директора по УВР Н.А. Калугина, </w:t>
      </w:r>
    </w:p>
    <w:p>
      <w:pPr>
        <w:pStyle w:val="Normal"/>
        <w:widowControl/>
        <w:suppressAutoHyphens w:val="true"/>
        <w:bidi w:val="0"/>
        <w:spacing w:lineRule="atLeast" w:line="100" w:before="0" w:after="0"/>
        <w:ind w:left="0" w:right="57" w:hanging="0"/>
        <w:jc w:val="both"/>
        <w:rPr>
          <w:sz w:val="22"/>
        </w:rPr>
      </w:pPr>
      <w:r>
        <w:rPr>
          <w:sz w:val="22"/>
        </w:rPr>
        <w:t>учитель русского языка и литературы  И,Г. Синдецкая.</w:t>
      </w:r>
    </w:p>
    <w:sectPr>
      <w:headerReference w:type="default" r:id="rId3"/>
      <w:footerReference w:type="default" r:id="rId4"/>
      <w:type w:val="nextPage"/>
      <w:pgSz w:w="11906" w:h="16838"/>
      <w:pgMar w:left="1701" w:right="850" w:header="708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f13efa"/>
    <w:pPr>
      <w:widowControl/>
      <w:tabs>
        <w:tab w:val="left" w:pos="708" w:leader="none"/>
      </w:tabs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"/>
    <w:qFormat/>
    <w:rsid w:val="00ea22b2"/>
    <w:pPr>
      <w:keepNext w:val="true"/>
      <w:keepLines/>
      <w:spacing w:lineRule="auto" w:line="276"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ea22b2"/>
    <w:pPr>
      <w:keepNext w:val="true"/>
      <w:keepLines/>
      <w:spacing w:lineRule="auto" w:line="276"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9f1a5d"/>
    <w:pPr>
      <w:keepNext w:val="true"/>
      <w:keepLines/>
      <w:spacing w:before="200" w:after="0"/>
      <w:outlineLvl w:val="2"/>
    </w:pPr>
    <w:rPr>
      <w:rFonts w:ascii="Cambria" w:hAnsi="Cambria" w:eastAsia="Times New Roman"/>
      <w:b/>
      <w:bCs/>
      <w:color w:val="4F81BD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ерхний колонтитул Знак"/>
    <w:basedOn w:val="DefaultParagraphFont"/>
    <w:link w:val="a3"/>
    <w:qFormat/>
    <w:rsid w:val="00d11827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Style12" w:customStyle="1">
    <w:name w:val="Текст выноски Знак"/>
    <w:basedOn w:val="DefaultParagraphFont"/>
    <w:link w:val="a7"/>
    <w:uiPriority w:val="99"/>
    <w:semiHidden/>
    <w:qFormat/>
    <w:rsid w:val="00f44733"/>
    <w:rPr>
      <w:rFonts w:ascii="Tahoma" w:hAnsi="Tahoma" w:eastAsia="Calibri" w:cs="Tahoma"/>
      <w:sz w:val="16"/>
      <w:szCs w:val="16"/>
      <w:lang w:eastAsia="ru-RU"/>
    </w:rPr>
  </w:style>
  <w:style w:type="character" w:styleId="Style13" w:customStyle="1">
    <w:name w:val="Без интервала Знак"/>
    <w:link w:val="a5"/>
    <w:qFormat/>
    <w:locked/>
    <w:rsid w:val="003c4311"/>
    <w:rPr>
      <w:rFonts w:ascii="Times New Roman" w:hAnsi="Times New Roman"/>
      <w:sz w:val="24"/>
      <w:szCs w:val="24"/>
      <w:lang w:eastAsia="ru-RU" w:bidi="ar-SA"/>
    </w:rPr>
  </w:style>
  <w:style w:type="character" w:styleId="Strong">
    <w:name w:val="Strong"/>
    <w:basedOn w:val="DefaultParagraphFont"/>
    <w:uiPriority w:val="22"/>
    <w:qFormat/>
    <w:rsid w:val="00d879ba"/>
    <w:rPr>
      <w:b/>
      <w:bCs/>
    </w:rPr>
  </w:style>
  <w:style w:type="character" w:styleId="Style14" w:customStyle="1">
    <w:name w:val="Нижний колонтитул Знак"/>
    <w:basedOn w:val="DefaultParagraphFont"/>
    <w:link w:val="ad"/>
    <w:uiPriority w:val="99"/>
    <w:qFormat/>
    <w:rsid w:val="00e83ade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a22b2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ea22b2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Style15" w:customStyle="1">
    <w:name w:val="Текст сноски Знак"/>
    <w:basedOn w:val="DefaultParagraphFont"/>
    <w:link w:val="af"/>
    <w:qFormat/>
    <w:rsid w:val="00ea22b2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6">
    <w:name w:val="Привязка сноски"/>
    <w:rPr>
      <w:rFonts w:cs="Times New Roman"/>
      <w:vertAlign w:val="superscript"/>
    </w:rPr>
  </w:style>
  <w:style w:type="character" w:styleId="FootnoteCharacters">
    <w:name w:val="Footnote Characters"/>
    <w:qFormat/>
    <w:rsid w:val="00ea22b2"/>
    <w:rPr>
      <w:rFonts w:cs="Times New Roman"/>
      <w:vertAlign w:val="superscript"/>
    </w:rPr>
  </w:style>
  <w:style w:type="character" w:styleId="Style17">
    <w:name w:val="Интернет-ссылка"/>
    <w:basedOn w:val="DefaultParagraphFont"/>
    <w:uiPriority w:val="99"/>
    <w:unhideWhenUsed/>
    <w:rsid w:val="00ed18f4"/>
    <w:rPr>
      <w:color w:val="0000FF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472e1"/>
    <w:rPr>
      <w:sz w:val="16"/>
      <w:szCs w:val="16"/>
    </w:rPr>
  </w:style>
  <w:style w:type="character" w:styleId="Style18" w:customStyle="1">
    <w:name w:val="Текст примечания Знак"/>
    <w:basedOn w:val="DefaultParagraphFont"/>
    <w:link w:val="af5"/>
    <w:uiPriority w:val="99"/>
    <w:semiHidden/>
    <w:qFormat/>
    <w:rsid w:val="004472e1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9" w:customStyle="1">
    <w:name w:val="Тема примечания Знак"/>
    <w:basedOn w:val="Style18"/>
    <w:link w:val="af7"/>
    <w:uiPriority w:val="99"/>
    <w:semiHidden/>
    <w:qFormat/>
    <w:rsid w:val="004472e1"/>
    <w:rPr>
      <w:rFonts w:ascii="Times New Roman" w:hAnsi="Times New Roman" w:eastAsia="Calibri" w:cs="Times New Roman"/>
      <w:b/>
      <w:bCs/>
      <w:sz w:val="20"/>
      <w:szCs w:val="20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9f1a5d"/>
    <w:rPr>
      <w:rFonts w:ascii="Cambria" w:hAnsi="Cambria" w:eastAsia="Times New Roman" w:cs="Times New Roman"/>
      <w:b/>
      <w:bCs/>
      <w:color w:val="4F81BD"/>
      <w:sz w:val="32"/>
      <w:szCs w:val="24"/>
      <w:lang w:eastAsia="ru-RU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4"/>
    <w:rsid w:val="00d1182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efault" w:customStyle="1">
    <w:name w:val="Default"/>
    <w:qFormat/>
    <w:rsid w:val="00d11827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en-US" w:val="ru-RU" w:bidi="ar-SA"/>
    </w:rPr>
  </w:style>
  <w:style w:type="paragraph" w:styleId="NoSpacing">
    <w:name w:val="No Spacing"/>
    <w:link w:val="a6"/>
    <w:qFormat/>
    <w:rsid w:val="004c7374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f44733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44733"/>
    <w:pPr>
      <w:ind w:left="720" w:hanging="0"/>
    </w:pPr>
    <w:rPr>
      <w:rFonts w:eastAsia="Times New Roman"/>
    </w:rPr>
  </w:style>
  <w:style w:type="paragraph" w:styleId="Style27">
    <w:name w:val="Footer"/>
    <w:basedOn w:val="Normal"/>
    <w:link w:val="ae"/>
    <w:uiPriority w:val="99"/>
    <w:unhideWhenUsed/>
    <w:rsid w:val="00e83ad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note Text"/>
    <w:basedOn w:val="Normal"/>
    <w:link w:val="af0"/>
    <w:rsid w:val="00ea22b2"/>
    <w:pPr/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f62e66"/>
    <w:pPr>
      <w:spacing w:beforeAutospacing="1" w:afterAutospacing="1"/>
    </w:pPr>
    <w:rPr>
      <w:rFonts w:eastAsia="Times New Roman"/>
    </w:rPr>
  </w:style>
  <w:style w:type="paragraph" w:styleId="Annotationtext">
    <w:name w:val="annotation text"/>
    <w:basedOn w:val="Normal"/>
    <w:link w:val="af6"/>
    <w:uiPriority w:val="99"/>
    <w:semiHidden/>
    <w:unhideWhenUsed/>
    <w:qFormat/>
    <w:rsid w:val="004472e1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8"/>
    <w:uiPriority w:val="99"/>
    <w:semiHidden/>
    <w:unhideWhenUsed/>
    <w:qFormat/>
    <w:rsid w:val="004472e1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99"/>
    <w:rsid w:val="003775f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Office_Excel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view3D>
      <c:rotX val="15"/>
      <c:rotY val="20"/>
      <c:rAngAx val="1"/>
      <c:perspective val="30"/>
    </c:view3D>
    <c:floor>
      <c:spPr>
        <a:solidFill>
          <a:srgbClr val="c0c0c0"/>
        </a:solidFill>
        <a:ln w="3240">
          <a:solidFill>
            <a:srgbClr val="000000"/>
          </a:solidFill>
          <a:round/>
        </a:ln>
      </c:spPr>
    </c:floor>
    <c:sideWall>
      <c:spPr>
        <a:solidFill>
          <a:srgbClr val="c0c0c0"/>
        </a:solidFill>
        <a:ln w="12600">
          <a:solidFill>
            <a:srgbClr val="808080"/>
          </a:solidFill>
          <a:round/>
        </a:ln>
      </c:spPr>
    </c:sideWall>
    <c:backWall>
      <c:spPr>
        <a:solidFill>
          <a:srgbClr val="c0c0c0"/>
        </a:solidFill>
        <a:ln w="12600">
          <a:solidFill>
            <a:srgbClr val="808080"/>
          </a:solidFill>
          <a:round/>
        </a:ln>
      </c:spPr>
    </c:backWall>
    <c:plotArea>
      <c:layout>
        <c:manualLayout>
          <c:layoutTarget val="inner"/>
          <c:xMode val="edge"/>
          <c:yMode val="edge"/>
          <c:x val="0.1121875"/>
          <c:y val="0.0738888888888889"/>
          <c:w val="0.57425"/>
          <c:h val="0.75366666666666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Критерий 1</c:v>
                </c:pt>
              </c:strCache>
            </c:strRef>
          </c:tx>
          <c:spPr>
            <a:solidFill>
              <a:srgbClr val="9999ff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Критерий 2</c:v>
                </c:pt>
              </c:strCache>
            </c:strRef>
          </c:tx>
          <c:spPr>
            <a:solidFill>
              <a:srgbClr val="993366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Критерий3</c:v>
                </c:pt>
              </c:strCache>
            </c:strRef>
          </c:tx>
          <c:spPr>
            <a:solidFill>
              <a:srgbClr val="ffffcc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Критерий 4</c:v>
                </c:pt>
              </c:strCache>
            </c:strRef>
          </c:tx>
          <c:spPr>
            <a:solidFill>
              <a:srgbClr val="ccffff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1"/>
                <c:pt idx="0">
                  <c:v>95</c:v>
                </c:pt>
              </c:numCache>
            </c:numRef>
          </c:val>
        </c:ser>
        <c:ser>
          <c:idx val="4"/>
          <c:order val="4"/>
          <c:tx>
            <c:strRef>
              <c:f>label 4</c:f>
              <c:strCache>
                <c:ptCount val="1"/>
                <c:pt idx="0">
                  <c:v>Критерий 5</c:v>
                </c:pt>
              </c:strCache>
            </c:strRef>
          </c:tx>
          <c:spPr>
            <a:solidFill>
              <a:srgbClr val="660066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4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</c:ser>
        <c:ser>
          <c:idx val="5"/>
          <c:order val="5"/>
          <c:tx>
            <c:strRef>
              <c:f>label 5</c:f>
              <c:strCache>
                <c:ptCount val="1"/>
                <c:pt idx="0">
                  <c:v>Критерий 6</c:v>
                </c:pt>
              </c:strCache>
            </c:strRef>
          </c:tx>
          <c:spPr>
            <a:solidFill>
              <a:srgbClr val="ff8080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5</c:f>
              <c:numCache>
                <c:formatCode>General</c:formatCode>
                <c:ptCount val="1"/>
                <c:pt idx="0">
                  <c:v>85</c:v>
                </c:pt>
              </c:numCache>
            </c:numRef>
          </c:val>
        </c:ser>
        <c:ser>
          <c:idx val="6"/>
          <c:order val="6"/>
          <c:tx>
            <c:strRef>
              <c:f>label 6</c:f>
              <c:strCache>
                <c:ptCount val="1"/>
                <c:pt idx="0">
                  <c:v>Критерий 7</c:v>
                </c:pt>
              </c:strCache>
            </c:strRef>
          </c:tx>
          <c:spPr>
            <a:solidFill>
              <a:srgbClr val="0066cc"/>
            </a:solidFill>
            <a:ln w="12600">
              <a:solidFill>
                <a:srgbClr val="000000"/>
              </a:solidFill>
              <a:round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6</c:f>
              <c:numCache>
                <c:formatCode>General</c:formatCode>
                <c:ptCount val="1"/>
                <c:pt idx="0">
                  <c:v>75</c:v>
                </c:pt>
              </c:numCache>
            </c:numRef>
          </c:val>
        </c:ser>
        <c:gapWidth val="150"/>
        <c:shape val="box"/>
        <c:axId val="72393003"/>
        <c:axId val="99289795"/>
        <c:axId val="0"/>
      </c:bar3DChart>
      <c:catAx>
        <c:axId val="72393003"/>
        <c:scaling>
          <c:orientation val="minMax"/>
        </c:scaling>
        <c:delete val="0"/>
        <c:axPos val="b"/>
        <c:majorGridlines>
          <c:spPr>
            <a:ln w="3240">
              <a:solidFill>
                <a:srgbClr val="000000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low"/>
        <c:spPr>
          <a:ln w="3240">
            <a:solidFill>
              <a:srgbClr val="000000"/>
            </a:solidFill>
            <a:round/>
          </a:ln>
        </c:spPr>
        <c:txPr>
          <a:bodyPr/>
          <a:lstStyle/>
          <a:p>
            <a:pPr>
              <a:defRPr b="1" sz="875" spc="-1" strike="noStrike">
                <a:solidFill>
                  <a:srgbClr val="000000"/>
                </a:solidFill>
                <a:latin typeface="Calibri"/>
                <a:ea typeface="Calibri"/>
              </a:defRPr>
            </a:pPr>
          </a:p>
        </c:txPr>
        <c:crossAx val="99289795"/>
        <c:crosses val="autoZero"/>
        <c:auto val="1"/>
        <c:lblAlgn val="ctr"/>
        <c:lblOffset val="100"/>
        <c:noMultiLvlLbl val="0"/>
      </c:catAx>
      <c:valAx>
        <c:axId val="99289795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spPr>
          <a:ln w="3240">
            <a:solidFill>
              <a:srgbClr val="000000"/>
            </a:solidFill>
            <a:round/>
          </a:ln>
        </c:spPr>
        <c:txPr>
          <a:bodyPr/>
          <a:lstStyle/>
          <a:p>
            <a:pPr>
              <a:defRPr b="1" sz="875" spc="-1" strike="noStrike">
                <a:solidFill>
                  <a:srgbClr val="000000"/>
                </a:solidFill>
                <a:latin typeface="Calibri"/>
                <a:ea typeface="Calibri"/>
              </a:defRPr>
            </a:pPr>
          </a:p>
        </c:txPr>
        <c:crossAx val="72393003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2275"/>
          <c:y val="0.152666666666667"/>
          <c:w val="0.264016501031314"/>
          <c:h val="0.694632736970775"/>
        </c:manualLayout>
      </c:layout>
      <c:overlay val="0"/>
      <c:spPr>
        <a:solidFill>
          <a:srgbClr val="ffffff"/>
        </a:solidFill>
        <a:ln w="3240">
          <a:solidFill>
            <a:srgbClr val="000000"/>
          </a:solidFill>
          <a:round/>
        </a:ln>
      </c:spPr>
      <c:txPr>
        <a:bodyPr/>
        <a:lstStyle/>
        <a:p>
          <a:pPr>
            <a:defRPr b="1" sz="805" spc="-1" strike="noStrike">
              <a:solidFill>
                <a:srgbClr val="000000"/>
              </a:solidFill>
              <a:latin typeface="Calibri"/>
              <a:ea typeface="Calibri"/>
            </a:defRPr>
          </a:pPr>
        </a:p>
      </c:txPr>
    </c:legend>
    <c:plotVisOnly val="1"/>
    <c:dispBlanksAs val="gap"/>
  </c:chart>
  <c:spPr>
    <a:noFill/>
    <a:ln w="9360"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0BF1A-4577-4FE9-AB54-D8E97EE2D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LibreOffice/7.0.3.1$Windows_X86_64 LibreOffice_project/d7547858d014d4cf69878db179d326fc3483e082</Application>
  <Pages>6</Pages>
  <Words>1859</Words>
  <Characters>12946</Characters>
  <CharactersWithSpaces>14657</CharactersWithSpaces>
  <Paragraphs>195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2020-02-28T07:28:00Z</dcterms:created>
  <dc:creator>user</dc:creator>
  <dc:description>Подготовлено на базе материалов БСС «Система Главбух»</dc:description>
  <dc:language>ru-RU</dc:language>
  <cp:lastModifiedBy/>
  <cp:lastPrinted>2017-12-18T04:46:00Z</cp:lastPrinted>
  <dcterms:modified xsi:type="dcterms:W3CDTF">2021-03-27T14:12:27Z</dcterms:modified>
  <cp:revision>5</cp:revision>
  <dc:subject/>
  <dc:title>Аналитическая справка о результатах итогового сочинения (изложения) по русскому языку обучающихся 11-х классов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PresentationFormat">
    <vt:lpwstr>aghdad</vt:lpwstr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