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_rels/chart1.xml.rels" ContentType="application/vnd.openxmlformats-package.relationships+xml"/>
  <Override PartName="/word/charts/_rels/chart2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embeddings/_____Microsoft_Excel1.xlsx" ContentType="application/vnd.openxmlformats-officedocument.spreadsheetml.sheet"/>
  <Override PartName="/word/embeddings/_____Microsoft_Excel.xlsx" ContentType="application/vnd.openxmlformats-officedocument.spreadsheetml.sheet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  <w:t>Результаты  ВПР в 6-ых классах по истории:</w:t>
      </w:r>
    </w:p>
    <w:p>
      <w:pPr>
        <w:pStyle w:val="Normal"/>
        <w:jc w:val="both"/>
        <w:rPr>
          <w:lang w:eastAsia="ru-RU" w:bidi="ar-SA"/>
        </w:rPr>
      </w:pPr>
      <w:r>
        <w:rPr>
          <w:lang w:eastAsia="ru-RU" w:bidi="ar-SA"/>
        </w:rPr>
        <w:t xml:space="preserve">   </w:t>
      </w:r>
      <w:r>
        <w:rPr>
          <w:lang w:eastAsia="ru-RU" w:bidi="ar-SA"/>
        </w:rPr>
        <w:t>Учитель Соловьева Е.Б.</w:t>
      </w:r>
    </w:p>
    <w:p>
      <w:pPr>
        <w:pStyle w:val="Normal"/>
        <w:jc w:val="center"/>
        <w:rPr>
          <w:rFonts w:cs="Times New Roman"/>
          <w:b/>
          <w:b/>
        </w:rPr>
      </w:pPr>
      <w:r>
        <w:rPr/>
      </w:r>
    </w:p>
    <w:p>
      <w:pPr>
        <w:pStyle w:val="Normal"/>
        <w:jc w:val="center"/>
        <w:rPr>
          <w:rFonts w:cs="Times New Roman"/>
          <w:b/>
          <w:b/>
        </w:rPr>
      </w:pPr>
      <w:r>
        <w:rPr>
          <w:rFonts w:cs="Times New Roman"/>
          <w:b/>
          <w:color w:val="000000"/>
        </w:rPr>
        <w:t xml:space="preserve">Общая гистограмма отметок </w:t>
      </w:r>
      <w:r>
        <w:rPr>
          <w:rFonts w:cs="Times New Roman"/>
          <w:b/>
        </w:rPr>
        <w:t xml:space="preserve">по </w:t>
      </w:r>
      <w:r>
        <w:rPr>
          <w:rFonts w:cs="Times New Roman"/>
          <w:b/>
          <w:u w:val="single"/>
        </w:rPr>
        <w:t>истории</w:t>
      </w:r>
      <w:r>
        <w:rPr>
          <w:rFonts w:cs="Times New Roman"/>
          <w:b/>
        </w:rPr>
        <w:t xml:space="preserve"> в 6-х классах</w:t>
      </w:r>
    </w:p>
    <w:p>
      <w:pPr>
        <w:pStyle w:val="Normal"/>
        <w:jc w:val="center"/>
        <w:rPr>
          <w:rFonts w:cs="Times New Roman"/>
          <w:b/>
          <w:b/>
        </w:rPr>
      </w:pPr>
      <w:r>
        <w:rPr>
          <w:rFonts w:cs="Times New Roman"/>
          <w:b/>
        </w:rPr>
      </w:r>
    </w:p>
    <w:p>
      <w:pPr>
        <w:pStyle w:val="Normal"/>
        <w:jc w:val="center"/>
        <w:rPr>
          <w:rFonts w:cs="Times New Roman"/>
        </w:rPr>
      </w:pPr>
      <w:r>
        <w:rPr/>
        <w:drawing>
          <wp:inline distT="0" distB="0" distL="0" distR="0">
            <wp:extent cx="4791075" cy="2162175"/>
            <wp:effectExtent l="0" t="0" r="0" b="0"/>
            <wp:docPr id="1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"/>
              </a:graphicData>
            </a:graphic>
          </wp:inline>
        </w:drawing>
      </w:r>
    </w:p>
    <w:p>
      <w:pPr>
        <w:pStyle w:val="Normal"/>
        <w:jc w:val="both"/>
        <w:rPr>
          <w:rFonts w:cs="Times New Roman"/>
        </w:rPr>
      </w:pPr>
      <w:r>
        <w:rPr>
          <w:rFonts w:cs="Times New Roman"/>
        </w:rPr>
      </w:r>
    </w:p>
    <w:tbl>
      <w:tblPr>
        <w:tblW w:w="8930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993"/>
        <w:gridCol w:w="1134"/>
        <w:gridCol w:w="1840"/>
        <w:gridCol w:w="709"/>
        <w:gridCol w:w="709"/>
        <w:gridCol w:w="709"/>
        <w:gridCol w:w="708"/>
        <w:gridCol w:w="993"/>
        <w:gridCol w:w="1134"/>
      </w:tblGrid>
      <w:tr>
        <w:trPr>
          <w:trHeight w:val="946" w:hRule="atLeast"/>
          <w:cantSplit w:val="true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 xml:space="preserve">Класс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Кол –во человек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Кол – во выполнявших работу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«5»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«4»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«3»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«2»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 xml:space="preserve">Качество знаний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Успеваемость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 xml:space="preserve">6а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27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33,3%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76,2%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6б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25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15%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85%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6в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27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44%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76%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79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66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31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31,8%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78,8%</w:t>
            </w:r>
          </w:p>
        </w:tc>
      </w:tr>
    </w:tbl>
    <w:p>
      <w:pPr>
        <w:pStyle w:val="Normal"/>
        <w:rPr>
          <w:rFonts w:cs="Times New Roman"/>
          <w:b/>
          <w:b/>
        </w:rPr>
      </w:pPr>
      <w:r>
        <w:rPr>
          <w:rFonts w:cs="Times New Roman"/>
          <w:b/>
        </w:rPr>
      </w:r>
    </w:p>
    <w:p>
      <w:pPr>
        <w:pStyle w:val="Normal"/>
        <w:ind w:firstLine="709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>Работу писали 66 обучающихся 6-ых классов. Из них получили оценку</w:t>
      </w:r>
    </w:p>
    <w:p>
      <w:pPr>
        <w:pStyle w:val="Normal"/>
        <w:ind w:left="127" w:hanging="0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 xml:space="preserve">«5» - 5 чел. 7,6% </w:t>
      </w:r>
    </w:p>
    <w:p>
      <w:pPr>
        <w:pStyle w:val="Normal"/>
        <w:ind w:left="127" w:hanging="0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>«4» - 16 чел. 24,2%</w:t>
      </w:r>
    </w:p>
    <w:p>
      <w:pPr>
        <w:pStyle w:val="Normal"/>
        <w:ind w:left="127" w:hanging="0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>«3» - 31 чел. 47%</w:t>
      </w:r>
    </w:p>
    <w:p>
      <w:pPr>
        <w:pStyle w:val="Normal"/>
        <w:ind w:left="127" w:hanging="0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>«2» - 14 чел. 21,2%</w:t>
      </w:r>
    </w:p>
    <w:p>
      <w:pPr>
        <w:pStyle w:val="Normal"/>
        <w:ind w:left="127" w:hanging="0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</w:r>
    </w:p>
    <w:p>
      <w:pPr>
        <w:pStyle w:val="Normal"/>
        <w:widowControl/>
        <w:suppressAutoHyphens w:val="false"/>
        <w:jc w:val="both"/>
        <w:rPr>
          <w:rFonts w:ascii="Times New Roman CYR" w:hAnsi="Times New Roman CYR" w:cs="Times New Roman CYR"/>
          <w:color w:val="000000"/>
          <w:kern w:val="0"/>
          <w:lang w:eastAsia="ru-RU" w:bidi="ar-SA"/>
        </w:rPr>
      </w:pPr>
      <w:r>
        <w:rPr>
          <w:rFonts w:cs="Times New Roman CYR" w:ascii="Times New Roman CYR" w:hAnsi="Times New Roman CYR"/>
          <w:color w:val="000000"/>
          <w:kern w:val="0"/>
          <w:lang w:eastAsia="ru-RU" w:bidi="ar-SA"/>
        </w:rPr>
        <w:t xml:space="preserve">Максимальный балл, который можно получить за всю работу - 15. </w:t>
      </w:r>
    </w:p>
    <w:p>
      <w:pPr>
        <w:pStyle w:val="Normal"/>
        <w:widowControl/>
        <w:suppressAutoHyphens w:val="false"/>
        <w:jc w:val="both"/>
        <w:rPr>
          <w:rFonts w:ascii="Times New Roman CYR" w:hAnsi="Times New Roman CYR" w:cs="Times New Roman CYR"/>
          <w:color w:val="000000"/>
          <w:kern w:val="0"/>
          <w:lang w:eastAsia="ru-RU" w:bidi="ar-SA"/>
        </w:rPr>
      </w:pPr>
      <w:r>
        <w:rPr>
          <w:rFonts w:cs="Times New Roman CYR" w:ascii="Times New Roman CYR" w:hAnsi="Times New Roman CYR"/>
          <w:color w:val="000000"/>
          <w:kern w:val="0"/>
          <w:lang w:eastAsia="ru-RU" w:bidi="ar-SA"/>
        </w:rPr>
        <w:t>Максимум за работу набрал один ученик.</w:t>
      </w:r>
    </w:p>
    <w:p>
      <w:pPr>
        <w:pStyle w:val="Normal"/>
        <w:rPr>
          <w:rFonts w:ascii="Times New Roman CYR" w:hAnsi="Times New Roman CYR" w:cs="Times New Roman CYR"/>
          <w:color w:val="000000"/>
          <w:kern w:val="0"/>
          <w:lang w:eastAsia="ru-RU" w:bidi="ar-SA"/>
        </w:rPr>
      </w:pPr>
      <w:r>
        <w:rPr>
          <w:rFonts w:cs="Times New Roman CYR" w:ascii="Times New Roman CYR" w:hAnsi="Times New Roman CYR"/>
          <w:color w:val="000000"/>
          <w:kern w:val="0"/>
          <w:lang w:eastAsia="ru-RU" w:bidi="ar-SA"/>
        </w:rPr>
        <w:t>Максимальный балл по параллели –15 б (1 обучающийся); минимальный – 0б (1 обучающийся).</w:t>
      </w:r>
    </w:p>
    <w:p>
      <w:pPr>
        <w:pStyle w:val="Normal"/>
        <w:ind w:firstLine="709"/>
        <w:jc w:val="both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 xml:space="preserve">Таким образом, качество выполненной работы составило 31,8%. </w:t>
      </w:r>
    </w:p>
    <w:p>
      <w:pPr>
        <w:pStyle w:val="Normal"/>
        <w:ind w:firstLine="709"/>
        <w:jc w:val="both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</w:r>
    </w:p>
    <w:tbl>
      <w:tblPr>
        <w:tblW w:w="988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951"/>
        <w:gridCol w:w="1418"/>
        <w:gridCol w:w="1558"/>
        <w:gridCol w:w="1277"/>
        <w:gridCol w:w="1275"/>
        <w:gridCol w:w="1275"/>
        <w:gridCol w:w="1134"/>
      </w:tblGrid>
      <w:tr>
        <w:trPr>
          <w:trHeight w:val="300" w:hRule="atLeast"/>
        </w:trPr>
        <w:tc>
          <w:tcPr>
            <w:tcW w:w="19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rPr>
                <w:rFonts w:eastAsia="Times New Roman" w:cs="Times New Roman"/>
                <w:b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Группы участников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cs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Кол-во ОО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cs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Кол-во участников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Вся выборка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jc w:val="right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35483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1295885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10,56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41,43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35,84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12,17</w:t>
            </w:r>
          </w:p>
        </w:tc>
      </w:tr>
      <w:tr>
        <w:trPr>
          <w:trHeight w:val="300" w:hRule="atLeast"/>
        </w:trPr>
        <w:tc>
          <w:tcPr>
            <w:tcW w:w="19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Свердловская обл.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967</w:t>
            </w:r>
          </w:p>
        </w:tc>
        <w:tc>
          <w:tcPr>
            <w:tcW w:w="155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41864</w:t>
            </w:r>
          </w:p>
        </w:tc>
        <w:tc>
          <w:tcPr>
            <w:tcW w:w="12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20,06</w:t>
            </w:r>
          </w:p>
        </w:tc>
        <w:tc>
          <w:tcPr>
            <w:tcW w:w="12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43,31</w:t>
            </w:r>
          </w:p>
        </w:tc>
        <w:tc>
          <w:tcPr>
            <w:tcW w:w="12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28,63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8</w:t>
            </w:r>
          </w:p>
        </w:tc>
      </w:tr>
      <w:tr>
        <w:trPr>
          <w:trHeight w:val="300" w:hRule="atLeast"/>
        </w:trPr>
        <w:tc>
          <w:tcPr>
            <w:tcW w:w="19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Дегтярск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55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155</w:t>
            </w:r>
          </w:p>
        </w:tc>
        <w:tc>
          <w:tcPr>
            <w:tcW w:w="12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29,68</w:t>
            </w:r>
          </w:p>
        </w:tc>
        <w:tc>
          <w:tcPr>
            <w:tcW w:w="12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45,16</w:t>
            </w:r>
          </w:p>
        </w:tc>
        <w:tc>
          <w:tcPr>
            <w:tcW w:w="12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19,35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5,81</w:t>
            </w:r>
          </w:p>
        </w:tc>
      </w:tr>
      <w:tr>
        <w:trPr>
          <w:trHeight w:val="300" w:hRule="atLeast"/>
        </w:trPr>
        <w:tc>
          <w:tcPr>
            <w:tcW w:w="19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МАОУ «СОШ №30»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 </w:t>
            </w:r>
            <w:r>
              <w:rPr>
                <w:rFonts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5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66</w:t>
            </w:r>
          </w:p>
        </w:tc>
        <w:tc>
          <w:tcPr>
            <w:tcW w:w="12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21,21</w:t>
            </w:r>
          </w:p>
        </w:tc>
        <w:tc>
          <w:tcPr>
            <w:tcW w:w="12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46,97</w:t>
            </w:r>
          </w:p>
        </w:tc>
        <w:tc>
          <w:tcPr>
            <w:tcW w:w="12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24,24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7,58</w:t>
            </w:r>
          </w:p>
        </w:tc>
      </w:tr>
    </w:tbl>
    <w:p>
      <w:pPr>
        <w:pStyle w:val="Normal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</w:r>
    </w:p>
    <w:p>
      <w:pPr>
        <w:pStyle w:val="Normal"/>
        <w:ind w:firstLine="709"/>
        <w:jc w:val="both"/>
        <w:rPr>
          <w:lang w:eastAsia="ru-RU" w:bidi="ar-SA"/>
        </w:rPr>
      </w:pPr>
      <w:r>
        <w:rPr>
          <w:lang w:eastAsia="ru-RU" w:bidi="ar-SA"/>
        </w:rPr>
        <w:t>Из таблицы видно, что результаты семиклассников школы по математике находятся на уровне Свердловской области.</w:t>
      </w:r>
    </w:p>
    <w:p>
      <w:pPr>
        <w:pStyle w:val="Normal"/>
        <w:jc w:val="center"/>
        <w:rPr>
          <w:rFonts w:cs="Times New Roman"/>
          <w:b/>
          <w:b/>
          <w:bCs/>
          <w:color w:val="000000"/>
          <w:szCs w:val="20"/>
        </w:rPr>
      </w:pPr>
      <w:r>
        <w:rPr>
          <w:rFonts w:cs="Times New Roman"/>
          <w:b/>
          <w:bCs/>
          <w:color w:val="000000"/>
          <w:szCs w:val="20"/>
        </w:rPr>
      </w:r>
    </w:p>
    <w:p>
      <w:pPr>
        <w:pStyle w:val="Normal"/>
        <w:jc w:val="center"/>
        <w:rPr>
          <w:rFonts w:cs="Times New Roman"/>
          <w:b/>
          <w:b/>
          <w:bCs/>
          <w:color w:val="000000"/>
          <w:szCs w:val="20"/>
        </w:rPr>
      </w:pPr>
      <w:r>
        <w:rPr>
          <w:rFonts w:cs="Times New Roman"/>
          <w:b/>
          <w:bCs/>
          <w:color w:val="000000"/>
          <w:szCs w:val="20"/>
        </w:rPr>
      </w:r>
    </w:p>
    <w:p>
      <w:pPr>
        <w:pStyle w:val="Normal"/>
        <w:jc w:val="center"/>
        <w:rPr>
          <w:rFonts w:cs="Times New Roman"/>
          <w:b/>
          <w:b/>
          <w:bCs/>
          <w:color w:val="000000"/>
          <w:szCs w:val="20"/>
        </w:rPr>
      </w:pPr>
      <w:r>
        <w:rPr>
          <w:rFonts w:cs="Times New Roman"/>
          <w:b/>
          <w:bCs/>
          <w:color w:val="000000"/>
          <w:szCs w:val="20"/>
        </w:rPr>
      </w:r>
    </w:p>
    <w:p>
      <w:pPr>
        <w:pStyle w:val="Normal"/>
        <w:jc w:val="center"/>
        <w:rPr>
          <w:rFonts w:cs="Times New Roman"/>
          <w:b/>
          <w:b/>
          <w:bCs/>
          <w:color w:val="000000"/>
          <w:szCs w:val="20"/>
        </w:rPr>
      </w:pPr>
      <w:r>
        <w:rPr>
          <w:rFonts w:cs="Times New Roman"/>
          <w:b/>
          <w:bCs/>
          <w:color w:val="000000"/>
          <w:szCs w:val="20"/>
        </w:rPr>
      </w:r>
    </w:p>
    <w:p>
      <w:pPr>
        <w:pStyle w:val="Normal"/>
        <w:jc w:val="center"/>
        <w:rPr>
          <w:rFonts w:cs="Times New Roman"/>
          <w:b/>
          <w:b/>
          <w:bCs/>
          <w:color w:val="000000"/>
          <w:szCs w:val="20"/>
        </w:rPr>
      </w:pPr>
      <w:r>
        <w:rPr>
          <w:rFonts w:cs="Times New Roman"/>
          <w:b/>
          <w:bCs/>
          <w:color w:val="000000"/>
          <w:szCs w:val="20"/>
        </w:rPr>
        <w:t>Гистограмма соответствия отметок за выполненную работу и отметок по журналу</w:t>
      </w:r>
    </w:p>
    <w:p>
      <w:pPr>
        <w:pStyle w:val="Normal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</w:r>
    </w:p>
    <w:p>
      <w:pPr>
        <w:pStyle w:val="Normal"/>
        <w:jc w:val="center"/>
        <w:rPr>
          <w:rFonts w:cs="Times New Roman"/>
          <w:b/>
          <w:b/>
          <w:lang w:eastAsia="ru-RU"/>
        </w:rPr>
      </w:pPr>
      <w:bookmarkStart w:id="0" w:name="_GoBack"/>
      <w:r>
        <w:rPr/>
        <w:drawing>
          <wp:inline distT="0" distB="0" distL="0" distR="0">
            <wp:extent cx="4552950" cy="2047875"/>
            <wp:effectExtent l="0" t="0" r="0" b="0"/>
            <wp:docPr id="2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"/>
              </a:graphicData>
            </a:graphic>
          </wp:inline>
        </w:drawing>
      </w:r>
      <w:bookmarkEnd w:id="0"/>
    </w:p>
    <w:p>
      <w:pPr>
        <w:pStyle w:val="Normal"/>
        <w:jc w:val="both"/>
        <w:rPr>
          <w:lang w:eastAsia="ru-RU" w:bidi="ar-SA"/>
        </w:rPr>
      </w:pPr>
      <w:r>
        <w:rPr>
          <w:lang w:eastAsia="ru-RU" w:bidi="ar-SA"/>
        </w:rPr>
      </w:r>
    </w:p>
    <w:p>
      <w:pPr>
        <w:pStyle w:val="Normal"/>
        <w:jc w:val="both"/>
        <w:rPr>
          <w:lang w:eastAsia="ru-RU" w:bidi="ar-SA"/>
        </w:rPr>
      </w:pPr>
      <w:r>
        <w:rPr>
          <w:lang w:eastAsia="ru-RU" w:bidi="ar-SA"/>
        </w:rPr>
      </w:r>
    </w:p>
    <w:p>
      <w:pPr>
        <w:pStyle w:val="Normal"/>
        <w:jc w:val="both"/>
        <w:rPr>
          <w:lang w:eastAsia="ru-RU" w:bidi="ar-SA"/>
        </w:rPr>
      </w:pPr>
      <w:r>
        <w:rPr>
          <w:lang w:eastAsia="ru-RU" w:bidi="ar-SA"/>
        </w:rPr>
      </w:r>
    </w:p>
    <w:tbl>
      <w:tblPr>
        <w:tblW w:w="6946" w:type="dxa"/>
        <w:jc w:val="left"/>
        <w:tblInd w:w="15" w:type="dxa"/>
        <w:tblLayout w:type="fixed"/>
        <w:tblCellMar>
          <w:top w:w="0" w:type="dxa"/>
          <w:left w:w="15" w:type="dxa"/>
          <w:bottom w:w="0" w:type="dxa"/>
          <w:right w:w="15" w:type="dxa"/>
        </w:tblCellMar>
        <w:tblLook w:firstRow="0" w:noVBand="0" w:lastRow="0" w:firstColumn="0" w:lastColumn="0" w:noHBand="0" w:val="0000"/>
      </w:tblPr>
      <w:tblGrid>
        <w:gridCol w:w="3968"/>
        <w:gridCol w:w="1135"/>
        <w:gridCol w:w="1843"/>
      </w:tblGrid>
      <w:tr>
        <w:trPr>
          <w:trHeight w:val="274" w:hRule="exact"/>
        </w:trPr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cs="Times New Roman"/>
                <w:color w:val="000000"/>
              </w:rPr>
            </w:pPr>
            <w:r>
              <w:rPr>
                <w:rFonts w:cs="Times New Roman"/>
                <w:b/>
                <w:bCs/>
                <w:color w:val="000000"/>
              </w:rPr>
              <w:t>Группы участников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cs="Times New Roman"/>
                <w:b/>
                <w:b/>
                <w:bCs/>
                <w:color w:val="000000"/>
              </w:rPr>
            </w:pPr>
            <w:r>
              <w:rPr>
                <w:rFonts w:cs="Times New Roman"/>
                <w:b/>
                <w:bCs/>
                <w:color w:val="000000"/>
              </w:rPr>
              <w:t>Кол-во уч.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cs="Times New Roman"/>
                <w:b/>
                <w:b/>
                <w:bCs/>
                <w:color w:val="000000"/>
              </w:rPr>
            </w:pPr>
            <w:r>
              <w:rPr>
                <w:rFonts w:cs="Times New Roman"/>
                <w:b/>
                <w:bCs/>
                <w:color w:val="000000"/>
              </w:rPr>
              <w:t>%</w:t>
            </w:r>
          </w:p>
        </w:tc>
      </w:tr>
      <w:tr>
        <w:trPr>
          <w:trHeight w:val="276" w:hRule="exact"/>
        </w:trPr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Понизили ( Отм.&lt; Отм.по журналу)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"/>
                <w:color w:val="000000"/>
                <w:kern w:val="0"/>
                <w:sz w:val="22"/>
                <w:szCs w:val="22"/>
                <w:lang w:eastAsia="ru-RU" w:bidi="ar-SA"/>
              </w:rPr>
            </w:pPr>
            <w:r>
              <w:rPr>
                <w:rFonts w:cs="Calibri" w:ascii="Calibri" w:hAnsi="Calibri"/>
                <w:color w:val="000000"/>
                <w:sz w:val="22"/>
                <w:szCs w:val="22"/>
              </w:rPr>
              <w:t>43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cs="Calibri" w:ascii="Calibri" w:hAnsi="Calibri"/>
                <w:color w:val="000000"/>
                <w:sz w:val="22"/>
                <w:szCs w:val="22"/>
              </w:rPr>
              <w:t>66,15</w:t>
            </w:r>
          </w:p>
        </w:tc>
      </w:tr>
      <w:tr>
        <w:trPr>
          <w:trHeight w:val="276" w:hRule="exact"/>
        </w:trPr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Подтвердили(Отм.=Отм.по журналу)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cs="Calibri" w:ascii="Calibri" w:hAnsi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cs="Calibri" w:ascii="Calibri" w:hAnsi="Calibri"/>
                <w:color w:val="000000"/>
                <w:sz w:val="22"/>
                <w:szCs w:val="22"/>
              </w:rPr>
              <w:t>26,15</w:t>
            </w:r>
          </w:p>
        </w:tc>
      </w:tr>
      <w:tr>
        <w:trPr>
          <w:trHeight w:val="276" w:hRule="exact"/>
        </w:trPr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Повысили (Отм.&gt; Отм.по журналу)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cs="Calibri"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cs="Calibri" w:ascii="Calibri" w:hAnsi="Calibri"/>
                <w:color w:val="000000"/>
                <w:sz w:val="22"/>
                <w:szCs w:val="22"/>
              </w:rPr>
              <w:t>7,69</w:t>
            </w:r>
          </w:p>
        </w:tc>
      </w:tr>
    </w:tbl>
    <w:p>
      <w:pPr>
        <w:pStyle w:val="Normal"/>
        <w:jc w:val="both"/>
        <w:rPr>
          <w:rFonts w:cs="Times New Roman"/>
          <w:lang w:eastAsia="ru-RU"/>
        </w:rPr>
      </w:pPr>
      <w:r>
        <w:rPr>
          <w:rFonts w:cs="Times New Roman"/>
          <w:lang w:eastAsia="ru-RU"/>
        </w:rPr>
      </w:r>
    </w:p>
    <w:p>
      <w:pPr>
        <w:pStyle w:val="Normal"/>
        <w:widowControl/>
        <w:suppressAutoHyphens w:val="false"/>
        <w:ind w:firstLine="709"/>
        <w:jc w:val="both"/>
        <w:rPr>
          <w:rFonts w:cs="Times New Roman"/>
          <w:kern w:val="0"/>
          <w:lang w:eastAsia="ru-RU" w:bidi="ar-SA"/>
        </w:rPr>
      </w:pPr>
      <w:r>
        <w:rPr>
          <w:rFonts w:cs="Times New Roman"/>
          <w:color w:val="000000"/>
          <w:kern w:val="0"/>
          <w:lang w:eastAsia="ru-RU" w:bidi="ar-SA"/>
        </w:rPr>
        <w:t xml:space="preserve">Результаты ВПР показали, что 5 (7,69%) обучающийся 6-х классов повысил отметку по предмету, 17 (26,15%) обучающихся подтвердили отметку по журналу, 43 (66,15%) обучающихся понизили отметку </w:t>
      </w:r>
      <w:r>
        <w:rPr>
          <w:rFonts w:cs="Times New Roman"/>
          <w:kern w:val="0"/>
          <w:lang w:eastAsia="ru-RU" w:bidi="ar-SA"/>
        </w:rPr>
        <w:t>и 14 обучающихся (21,2%) показали результаты ниже базового уровня.</w:t>
      </w:r>
    </w:p>
    <w:p>
      <w:pPr>
        <w:pStyle w:val="Normal"/>
        <w:ind w:firstLine="567"/>
        <w:rPr>
          <w:rFonts w:cs="Times New Roman"/>
          <w:b/>
          <w:b/>
        </w:rPr>
      </w:pPr>
      <w:r>
        <w:rPr>
          <w:rFonts w:cs="Times New Roman"/>
          <w:b/>
        </w:rPr>
      </w:r>
    </w:p>
    <w:p>
      <w:pPr>
        <w:pStyle w:val="Normal"/>
        <w:ind w:firstLine="567"/>
        <w:rPr>
          <w:rFonts w:cs="Times New Roman"/>
        </w:rPr>
      </w:pPr>
      <w:r>
        <w:rPr>
          <w:rFonts w:cs="Times New Roman"/>
          <w:b/>
        </w:rPr>
        <w:t>Более успешно выполнены</w:t>
      </w:r>
      <w:r>
        <w:rPr>
          <w:rFonts w:cs="Times New Roman"/>
        </w:rPr>
        <w:t xml:space="preserve"> учащимися задания  на:</w:t>
      </w:r>
    </w:p>
    <w:p>
      <w:pPr>
        <w:pStyle w:val="Normal"/>
        <w:numPr>
          <w:ilvl w:val="0"/>
          <w:numId w:val="2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классификации. Реализация историко-культурологического подхода, формирующего способности к межкультурному диалогу, восприятию и бережному отношению к культурному наследию Родины – 69,7%.</w:t>
      </w:r>
    </w:p>
    <w:p>
      <w:pPr>
        <w:pStyle w:val="Normal"/>
        <w:numPr>
          <w:ilvl w:val="0"/>
          <w:numId w:val="2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Умение создавать, применять и преобразовывать знаки и символы, модели и схемы для решения учебных и познавательных задач. Работать с изобразительными историческими источниками, понимать и интерпретировать содержащуюся в них информацию – 56,1%.</w:t>
      </w:r>
    </w:p>
    <w:p>
      <w:pPr>
        <w:pStyle w:val="Normal"/>
        <w:numPr>
          <w:ilvl w:val="0"/>
          <w:numId w:val="2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Умение создавать, применять и преобразовывать знаки и символы, модели и схемы для решения учебных и познавательных задач; владение основами самоконтроля, самооценки, принятия решений и осуществления осознанного выбора в учебной и познавательной деятельности. Умение использовать историческую карту как источник информации о расселении общностей в эпохи первобытности и Древнего мира, расположении древних цивилизаций и государств, местах важнейших событий – 50%.</w:t>
      </w:r>
    </w:p>
    <w:p>
      <w:pPr>
        <w:pStyle w:val="Normal"/>
        <w:numPr>
          <w:ilvl w:val="0"/>
          <w:numId w:val="2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Умение осознанно использовать речевые средства в соответствии с задачей коммуникации; владение основами самоконтроля, самооценки, принятия решений и осуществления осознанного выбора в учебной и познавательной деятельности. Умение рассказывать о событиях древней истории – 43,4%.</w:t>
      </w:r>
    </w:p>
    <w:p>
      <w:pPr>
        <w:pStyle w:val="Normal"/>
        <w:ind w:left="720" w:hanging="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</w:r>
    </w:p>
    <w:p>
      <w:pPr>
        <w:pStyle w:val="Normal"/>
        <w:ind w:left="1440" w:hanging="0"/>
        <w:jc w:val="both"/>
        <w:rPr>
          <w:rFonts w:cs="Times New Roman"/>
        </w:rPr>
      </w:pPr>
      <w:r>
        <w:rPr>
          <w:rFonts w:cs="Times New Roman"/>
          <w:b/>
        </w:rPr>
        <w:t>Затруднения вызвали</w:t>
      </w:r>
      <w:r>
        <w:rPr>
          <w:rFonts w:cs="Times New Roman"/>
        </w:rPr>
        <w:t xml:space="preserve"> задания на: </w:t>
      </w:r>
    </w:p>
    <w:p>
      <w:pPr>
        <w:pStyle w:val="Normal"/>
        <w:numPr>
          <w:ilvl w:val="0"/>
          <w:numId w:val="3"/>
        </w:numPr>
        <w:jc w:val="both"/>
        <w:rPr>
          <w:rFonts w:cs="Times New Roman"/>
          <w:color w:val="000000"/>
          <w:szCs w:val="16"/>
        </w:rPr>
      </w:pPr>
      <w:r>
        <w:rPr>
          <w:rFonts w:cs="Times New Roman"/>
          <w:color w:val="000000"/>
          <w:szCs w:val="16"/>
        </w:rPr>
        <w:t>Умение создавать обобщения, классифицировать, самостоятельно выбирать основания и критерии для классификации; формирование важнейших культурно-исторических ориентиров для гражданской, этнонациональной, социальной, культурной самоидентификации личности. Реализация историко-культурологическо¬го подхода, формирующего способности к межкультурному диалогу, восприятию и бережному отношению к культурному наследию Родины – 37,1%.</w:t>
      </w:r>
    </w:p>
    <w:p>
      <w:pPr>
        <w:pStyle w:val="Normal"/>
        <w:numPr>
          <w:ilvl w:val="0"/>
          <w:numId w:val="3"/>
        </w:numPr>
        <w:jc w:val="both"/>
        <w:rPr>
          <w:rFonts w:cs="Times New Roman"/>
          <w:color w:val="000000"/>
          <w:szCs w:val="16"/>
        </w:rPr>
      </w:pPr>
      <w:r>
        <w:rPr>
          <w:rFonts w:cs="Times New Roman"/>
          <w:color w:val="000000"/>
          <w:szCs w:val="16"/>
        </w:rPr>
        <w:t>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классификации; владение основами самоконтроля, самооценки, принятия решений и осуществления осознанного выбора в учебной и познавательной деятельности. Умение объяснять смысл основных хронологических понятий, терминов – 30,8%.</w:t>
      </w:r>
    </w:p>
    <w:p>
      <w:pPr>
        <w:pStyle w:val="Normal"/>
        <w:numPr>
          <w:ilvl w:val="0"/>
          <w:numId w:val="3"/>
        </w:numPr>
        <w:jc w:val="both"/>
        <w:rPr>
          <w:rFonts w:cs="Times New Roman"/>
          <w:color w:val="000000"/>
          <w:szCs w:val="16"/>
        </w:rPr>
      </w:pPr>
      <w:r>
        <w:rPr>
          <w:rFonts w:cs="Times New Roman"/>
          <w:color w:val="000000"/>
          <w:szCs w:val="16"/>
        </w:rPr>
        <w:t>Умение устанавливать причинно-следственные связи, строить логическое рассуждение, умозаключение (индуктивное, дедуктивное и по аналогии) и делать выводы; владение основами самоконтроля, самооценки, принятия решений и осуществления осознанного выбора в учебной и познавательной деятельности. Умение описывать условия существования, основные занятия, образ жизни людей в древности – 22,7%.</w:t>
      </w:r>
    </w:p>
    <w:p>
      <w:pPr>
        <w:pStyle w:val="Normal"/>
        <w:ind w:left="720" w:hanging="0"/>
        <w:jc w:val="both"/>
        <w:rPr>
          <w:rFonts w:cs="Times New Roman"/>
          <w:color w:val="000000"/>
          <w:szCs w:val="16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 CYR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uiPriority="0" w:semiHidden="1" w:unhideWhenUsed="1" w:qFormat="1"/>
    <w:lsdException w:name="caption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c470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Calibri" w:cs="Mangal" w:eastAsiaTheme="minorHAnsi"/>
      <w:color w:val="auto"/>
      <w:kern w:val="2"/>
      <w:sz w:val="24"/>
      <w:szCs w:val="24"/>
      <w:lang w:eastAsia="hi-IN" w:bidi="hi-IN" w:val="ru-RU"/>
    </w:rPr>
  </w:style>
  <w:style w:type="paragraph" w:styleId="1">
    <w:name w:val="Heading 1"/>
    <w:basedOn w:val="Normal"/>
    <w:next w:val="Normal"/>
    <w:link w:val="10"/>
    <w:uiPriority w:val="99"/>
    <w:qFormat/>
    <w:rsid w:val="00ac4706"/>
    <w:pPr>
      <w:keepNext w:val="true"/>
      <w:numPr>
        <w:ilvl w:val="0"/>
        <w:numId w:val="1"/>
      </w:numPr>
      <w:jc w:val="center"/>
      <w:outlineLvl w:val="0"/>
    </w:pPr>
    <w:rPr>
      <w:sz w:val="28"/>
    </w:rPr>
  </w:style>
  <w:style w:type="paragraph" w:styleId="2">
    <w:name w:val="Heading 2"/>
    <w:basedOn w:val="Normal"/>
    <w:next w:val="Normal"/>
    <w:link w:val="20"/>
    <w:uiPriority w:val="99"/>
    <w:qFormat/>
    <w:rsid w:val="00ac4706"/>
    <w:pPr>
      <w:keepNext w:val="true"/>
      <w:spacing w:before="240" w:after="60"/>
      <w:outlineLvl w:val="1"/>
    </w:pPr>
    <w:rPr>
      <w:rFonts w:ascii="Cambria" w:hAnsi="Cambria" w:eastAsia="Times New Roman"/>
      <w:b/>
      <w:bCs/>
      <w:i/>
      <w:iCs/>
      <w:sz w:val="28"/>
      <w:szCs w:val="25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rsid w:val="00ac4706"/>
    <w:rPr>
      <w:rFonts w:ascii="Times New Roman" w:hAnsi="Times New Roman" w:eastAsia="Calibri" w:cs="Mangal"/>
      <w:kern w:val="2"/>
      <w:sz w:val="28"/>
      <w:szCs w:val="24"/>
      <w:lang w:eastAsia="hi-IN" w:bidi="hi-IN"/>
    </w:rPr>
  </w:style>
  <w:style w:type="character" w:styleId="21" w:customStyle="1">
    <w:name w:val="Заголовок 2 Знак"/>
    <w:basedOn w:val="DefaultParagraphFont"/>
    <w:link w:val="2"/>
    <w:uiPriority w:val="99"/>
    <w:qFormat/>
    <w:rsid w:val="00ac4706"/>
    <w:rPr>
      <w:rFonts w:ascii="Cambria" w:hAnsi="Cambria" w:eastAsia="Times New Roman" w:cs="Mangal"/>
      <w:b/>
      <w:bCs/>
      <w:i/>
      <w:iCs/>
      <w:kern w:val="2"/>
      <w:sz w:val="28"/>
      <w:szCs w:val="25"/>
      <w:lang w:eastAsia="hi-IN" w:bidi="hi-IN"/>
    </w:rPr>
  </w:style>
  <w:style w:type="character" w:styleId="WW8Num2z0" w:customStyle="1">
    <w:name w:val="WW8Num2z0"/>
    <w:uiPriority w:val="99"/>
    <w:qFormat/>
    <w:rsid w:val="00ac4706"/>
    <w:rPr>
      <w:rFonts w:ascii="Times New Roman" w:hAnsi="Times New Roman"/>
    </w:rPr>
  </w:style>
  <w:style w:type="character" w:styleId="AbsatzStandardschriftart" w:customStyle="1">
    <w:name w:val="Absatz-Standardschriftart"/>
    <w:uiPriority w:val="99"/>
    <w:qFormat/>
    <w:rsid w:val="00ac4706"/>
    <w:rPr/>
  </w:style>
  <w:style w:type="character" w:styleId="WWAbsatzStandardschriftart" w:customStyle="1">
    <w:name w:val="WW-Absatz-Standardschriftart"/>
    <w:uiPriority w:val="99"/>
    <w:qFormat/>
    <w:rsid w:val="00ac4706"/>
    <w:rPr/>
  </w:style>
  <w:style w:type="character" w:styleId="WWAbsatzStandardschriftart1" w:customStyle="1">
    <w:name w:val="WW-Absatz-Standardschriftart1"/>
    <w:uiPriority w:val="99"/>
    <w:qFormat/>
    <w:rsid w:val="00ac4706"/>
    <w:rPr/>
  </w:style>
  <w:style w:type="character" w:styleId="WWAbsatzStandardschriftart11" w:customStyle="1">
    <w:name w:val="WW-Absatz-Standardschriftart11"/>
    <w:uiPriority w:val="99"/>
    <w:qFormat/>
    <w:rsid w:val="00ac4706"/>
    <w:rPr/>
  </w:style>
  <w:style w:type="character" w:styleId="WW8Num8z0" w:customStyle="1">
    <w:name w:val="WW8Num8z0"/>
    <w:uiPriority w:val="99"/>
    <w:qFormat/>
    <w:rsid w:val="00ac4706"/>
    <w:rPr>
      <w:rFonts w:ascii="Times New Roman" w:hAnsi="Times New Roman"/>
    </w:rPr>
  </w:style>
  <w:style w:type="character" w:styleId="WW8Num8z1" w:customStyle="1">
    <w:name w:val="WW8Num8z1"/>
    <w:uiPriority w:val="99"/>
    <w:qFormat/>
    <w:rsid w:val="00ac4706"/>
    <w:rPr>
      <w:rFonts w:ascii="Courier New" w:hAnsi="Courier New"/>
    </w:rPr>
  </w:style>
  <w:style w:type="character" w:styleId="WW8Num8z2" w:customStyle="1">
    <w:name w:val="WW8Num8z2"/>
    <w:uiPriority w:val="99"/>
    <w:qFormat/>
    <w:rsid w:val="00ac4706"/>
    <w:rPr>
      <w:rFonts w:ascii="Wingdings" w:hAnsi="Wingdings"/>
    </w:rPr>
  </w:style>
  <w:style w:type="character" w:styleId="WW8Num8z3" w:customStyle="1">
    <w:name w:val="WW8Num8z3"/>
    <w:uiPriority w:val="99"/>
    <w:qFormat/>
    <w:rsid w:val="00ac4706"/>
    <w:rPr>
      <w:rFonts w:ascii="Symbol" w:hAnsi="Symbol"/>
    </w:rPr>
  </w:style>
  <w:style w:type="character" w:styleId="Style12" w:customStyle="1">
    <w:name w:val="Основной текст Знак"/>
    <w:basedOn w:val="DefaultParagraphFont"/>
    <w:uiPriority w:val="99"/>
    <w:qFormat/>
    <w:locked/>
    <w:rsid w:val="00ac4706"/>
    <w:rPr>
      <w:rFonts w:ascii="Times New Roman" w:hAnsi="Times New Roman" w:eastAsia="Times New Roman" w:cs="Mangal"/>
      <w:kern w:val="2"/>
      <w:sz w:val="24"/>
      <w:szCs w:val="24"/>
      <w:lang w:eastAsia="hi-IN" w:bidi="hi-IN"/>
    </w:rPr>
  </w:style>
  <w:style w:type="character" w:styleId="Style13" w:customStyle="1">
    <w:name w:val="Название Знак"/>
    <w:basedOn w:val="DefaultParagraphFont"/>
    <w:uiPriority w:val="99"/>
    <w:qFormat/>
    <w:locked/>
    <w:rsid w:val="00ac4706"/>
    <w:rPr>
      <w:rFonts w:ascii="Arial" w:hAnsi="Arial" w:eastAsia="Times New Roman" w:cs="Mangal"/>
      <w:kern w:val="2"/>
      <w:sz w:val="28"/>
      <w:szCs w:val="28"/>
      <w:lang w:eastAsia="hi-IN" w:bidi="hi-IN"/>
    </w:rPr>
  </w:style>
  <w:style w:type="character" w:styleId="Style14" w:customStyle="1">
    <w:name w:val="Подзаголовок Знак"/>
    <w:basedOn w:val="DefaultParagraphFont"/>
    <w:uiPriority w:val="99"/>
    <w:qFormat/>
    <w:locked/>
    <w:rsid w:val="00ac4706"/>
    <w:rPr>
      <w:rFonts w:ascii="Arial" w:hAnsi="Arial" w:eastAsia="Times New Roman" w:cs="Mangal"/>
      <w:i/>
      <w:iCs/>
      <w:kern w:val="2"/>
      <w:sz w:val="28"/>
      <w:szCs w:val="28"/>
      <w:lang w:eastAsia="hi-IN" w:bidi="hi-IN"/>
    </w:rPr>
  </w:style>
  <w:style w:type="character" w:styleId="FontStyle45" w:customStyle="1">
    <w:name w:val="Font Style45"/>
    <w:basedOn w:val="DefaultParagraphFont"/>
    <w:uiPriority w:val="99"/>
    <w:qFormat/>
    <w:rsid w:val="00ac4706"/>
    <w:rPr>
      <w:rFonts w:ascii="Times New Roman" w:hAnsi="Times New Roman" w:cs="Times New Roman"/>
      <w:sz w:val="26"/>
      <w:szCs w:val="26"/>
    </w:rPr>
  </w:style>
  <w:style w:type="character" w:styleId="Style15" w:customStyle="1">
    <w:name w:val="Без интервала Знак"/>
    <w:uiPriority w:val="99"/>
    <w:qFormat/>
    <w:locked/>
    <w:rsid w:val="00ac4706"/>
    <w:rPr>
      <w:rFonts w:eastAsia="Times New Roman"/>
      <w:sz w:val="22"/>
      <w:szCs w:val="22"/>
      <w:lang w:val="ru-RU" w:eastAsia="en-US" w:bidi="ar-SA"/>
    </w:rPr>
  </w:style>
  <w:style w:type="character" w:styleId="12" w:customStyle="1">
    <w:name w:val="Основной текст Знак1"/>
    <w:basedOn w:val="DefaultParagraphFont"/>
    <w:link w:val="a7"/>
    <w:uiPriority w:val="99"/>
    <w:qFormat/>
    <w:rsid w:val="00ac4706"/>
    <w:rPr>
      <w:rFonts w:ascii="Times New Roman" w:hAnsi="Times New Roman" w:eastAsia="Calibri" w:cs="Mangal"/>
      <w:kern w:val="2"/>
      <w:sz w:val="24"/>
      <w:szCs w:val="24"/>
      <w:lang w:eastAsia="hi-IN" w:bidi="hi-IN"/>
    </w:rPr>
  </w:style>
  <w:style w:type="character" w:styleId="Style16" w:customStyle="1">
    <w:name w:val="Текст выноски Знак"/>
    <w:basedOn w:val="DefaultParagraphFont"/>
    <w:link w:val="ab"/>
    <w:uiPriority w:val="99"/>
    <w:semiHidden/>
    <w:qFormat/>
    <w:rsid w:val="00ac4706"/>
    <w:rPr>
      <w:rFonts w:ascii="Tahoma" w:hAnsi="Tahoma" w:eastAsia="Calibri" w:cs="Mangal"/>
      <w:kern w:val="2"/>
      <w:sz w:val="16"/>
      <w:szCs w:val="14"/>
      <w:lang w:eastAsia="hi-IN" w:bidi="hi-IN"/>
    </w:rPr>
  </w:style>
  <w:style w:type="character" w:styleId="13" w:customStyle="1">
    <w:name w:val="Подзаголовок Знак1"/>
    <w:basedOn w:val="DefaultParagraphFont"/>
    <w:link w:val="af"/>
    <w:uiPriority w:val="99"/>
    <w:qFormat/>
    <w:rsid w:val="00ac4706"/>
    <w:rPr>
      <w:rFonts w:ascii="Arial" w:hAnsi="Arial" w:eastAsia="Calibri" w:cs="Mangal"/>
      <w:i/>
      <w:iCs/>
      <w:kern w:val="2"/>
      <w:sz w:val="28"/>
      <w:szCs w:val="28"/>
      <w:lang w:eastAsia="hi-IN" w:bidi="hi-IN"/>
    </w:rPr>
  </w:style>
  <w:style w:type="character" w:styleId="Style17" w:customStyle="1">
    <w:name w:val="Заголовок Знак"/>
    <w:basedOn w:val="DefaultParagraphFont"/>
    <w:link w:val="ae"/>
    <w:uiPriority w:val="99"/>
    <w:qFormat/>
    <w:rsid w:val="00ac4706"/>
    <w:rPr>
      <w:rFonts w:ascii="Arial" w:hAnsi="Arial" w:eastAsia="Calibri" w:cs="Mangal"/>
      <w:kern w:val="2"/>
      <w:sz w:val="28"/>
      <w:szCs w:val="28"/>
      <w:lang w:eastAsia="hi-IN" w:bidi="hi-IN"/>
    </w:rPr>
  </w:style>
  <w:style w:type="character" w:styleId="Style18" w:customStyle="1">
    <w:name w:val="Основной текст с отступом Знак"/>
    <w:basedOn w:val="DefaultParagraphFont"/>
    <w:link w:val="af5"/>
    <w:uiPriority w:val="99"/>
    <w:semiHidden/>
    <w:qFormat/>
    <w:rsid w:val="00ac4706"/>
    <w:rPr>
      <w:rFonts w:ascii="Times New Roman" w:hAnsi="Times New Roman" w:eastAsia="Calibri" w:cs="Mangal"/>
      <w:kern w:val="2"/>
      <w:sz w:val="24"/>
      <w:szCs w:val="21"/>
      <w:lang w:eastAsia="hi-IN" w:bidi="hi-IN"/>
    </w:rPr>
  </w:style>
  <w:style w:type="character" w:styleId="Style19" w:customStyle="1">
    <w:name w:val="Верхний колонтитул Знак"/>
    <w:basedOn w:val="DefaultParagraphFont"/>
    <w:link w:val="af8"/>
    <w:uiPriority w:val="99"/>
    <w:semiHidden/>
    <w:qFormat/>
    <w:rsid w:val="00ac4706"/>
    <w:rPr>
      <w:rFonts w:ascii="Times New Roman" w:hAnsi="Times New Roman" w:eastAsia="Calibri" w:cs="Mangal"/>
      <w:kern w:val="2"/>
      <w:sz w:val="24"/>
      <w:szCs w:val="21"/>
      <w:lang w:eastAsia="hi-IN" w:bidi="hi-IN"/>
    </w:rPr>
  </w:style>
  <w:style w:type="character" w:styleId="Style20" w:customStyle="1">
    <w:name w:val="Нижний колонтитул Знак"/>
    <w:basedOn w:val="DefaultParagraphFont"/>
    <w:link w:val="afa"/>
    <w:uiPriority w:val="99"/>
    <w:semiHidden/>
    <w:qFormat/>
    <w:rsid w:val="00ac4706"/>
    <w:rPr>
      <w:rFonts w:ascii="Times New Roman" w:hAnsi="Times New Roman" w:eastAsia="Calibri" w:cs="Mangal"/>
      <w:kern w:val="2"/>
      <w:sz w:val="24"/>
      <w:szCs w:val="21"/>
      <w:lang w:eastAsia="hi-IN" w:bidi="hi-IN"/>
    </w:rPr>
  </w:style>
  <w:style w:type="paragraph" w:styleId="Style21">
    <w:name w:val="Заголовок"/>
    <w:basedOn w:val="Normal"/>
    <w:next w:val="Style22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2">
    <w:name w:val="Body Text"/>
    <w:basedOn w:val="Normal"/>
    <w:link w:val="12"/>
    <w:uiPriority w:val="99"/>
    <w:rsid w:val="00ac4706"/>
    <w:pPr>
      <w:spacing w:before="0" w:after="120"/>
    </w:pPr>
    <w:rPr/>
  </w:style>
  <w:style w:type="paragraph" w:styleId="Style23">
    <w:name w:val="List"/>
    <w:basedOn w:val="Style22"/>
    <w:uiPriority w:val="99"/>
    <w:rsid w:val="00ac4706"/>
    <w:pPr/>
    <w:rPr/>
  </w:style>
  <w:style w:type="paragraph" w:styleId="Style2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5">
    <w:name w:val="Указатель"/>
    <w:basedOn w:val="Normal"/>
    <w:qFormat/>
    <w:pPr>
      <w:suppressLineNumbers/>
    </w:pPr>
    <w:rPr>
      <w:rFonts w:cs="Arial"/>
    </w:rPr>
  </w:style>
  <w:style w:type="paragraph" w:styleId="14" w:customStyle="1">
    <w:name w:val="Заголовок1"/>
    <w:basedOn w:val="Normal"/>
    <w:next w:val="Style22"/>
    <w:uiPriority w:val="99"/>
    <w:qFormat/>
    <w:rsid w:val="00ac4706"/>
    <w:pPr>
      <w:keepNext w:val="true"/>
      <w:spacing w:before="240" w:after="120"/>
    </w:pPr>
    <w:rPr>
      <w:rFonts w:ascii="Arial" w:hAnsi="Arial"/>
      <w:sz w:val="28"/>
      <w:szCs w:val="28"/>
    </w:rPr>
  </w:style>
  <w:style w:type="paragraph" w:styleId="Caption">
    <w:name w:val="caption"/>
    <w:basedOn w:val="Normal"/>
    <w:qFormat/>
    <w:rsid w:val="00ac4706"/>
    <w:pPr>
      <w:suppressLineNumbers/>
      <w:spacing w:before="120" w:after="120"/>
    </w:pPr>
    <w:rPr>
      <w:rFonts w:cs="Arial"/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qFormat/>
    <w:rsid w:val="00ac4706"/>
    <w:pPr>
      <w:ind w:left="240" w:hanging="240"/>
    </w:pPr>
    <w:rPr>
      <w:szCs w:val="21"/>
    </w:rPr>
  </w:style>
  <w:style w:type="paragraph" w:styleId="Indexheading">
    <w:name w:val="index heading"/>
    <w:basedOn w:val="Normal"/>
    <w:qFormat/>
    <w:rsid w:val="00ac4706"/>
    <w:pPr>
      <w:suppressLineNumbers/>
    </w:pPr>
    <w:rPr>
      <w:rFonts w:cs="Arial"/>
    </w:rPr>
  </w:style>
  <w:style w:type="paragraph" w:styleId="BalloonText">
    <w:name w:val="Balloon Text"/>
    <w:basedOn w:val="Normal"/>
    <w:link w:val="ac"/>
    <w:uiPriority w:val="99"/>
    <w:semiHidden/>
    <w:qFormat/>
    <w:rsid w:val="00ac4706"/>
    <w:pPr/>
    <w:rPr>
      <w:rFonts w:ascii="Tahoma" w:hAnsi="Tahoma"/>
      <w:sz w:val="16"/>
      <w:szCs w:val="14"/>
    </w:rPr>
  </w:style>
  <w:style w:type="paragraph" w:styleId="ListParagraph">
    <w:name w:val="List Paragraph"/>
    <w:basedOn w:val="Normal"/>
    <w:uiPriority w:val="99"/>
    <w:qFormat/>
    <w:rsid w:val="00ac4706"/>
    <w:pPr>
      <w:spacing w:before="0" w:after="0"/>
      <w:ind w:left="720" w:hanging="0"/>
      <w:contextualSpacing/>
    </w:pPr>
    <w:rPr>
      <w:szCs w:val="21"/>
    </w:rPr>
  </w:style>
  <w:style w:type="paragraph" w:styleId="15" w:customStyle="1">
    <w:name w:val="Название1"/>
    <w:basedOn w:val="Normal"/>
    <w:uiPriority w:val="99"/>
    <w:qFormat/>
    <w:rsid w:val="00ac4706"/>
    <w:pPr>
      <w:suppressLineNumbers/>
      <w:spacing w:before="120" w:after="120"/>
    </w:pPr>
    <w:rPr>
      <w:i/>
      <w:iCs/>
    </w:rPr>
  </w:style>
  <w:style w:type="paragraph" w:styleId="16" w:customStyle="1">
    <w:name w:val="Указатель1"/>
    <w:basedOn w:val="Normal"/>
    <w:uiPriority w:val="99"/>
    <w:qFormat/>
    <w:rsid w:val="00ac4706"/>
    <w:pPr>
      <w:suppressLineNumbers/>
    </w:pPr>
    <w:rPr/>
  </w:style>
  <w:style w:type="paragraph" w:styleId="Style26">
    <w:name w:val="Title"/>
    <w:basedOn w:val="14"/>
    <w:next w:val="Style27"/>
    <w:link w:val="af0"/>
    <w:uiPriority w:val="99"/>
    <w:qFormat/>
    <w:rsid w:val="00ac4706"/>
    <w:pPr/>
    <w:rPr/>
  </w:style>
  <w:style w:type="paragraph" w:styleId="Style27">
    <w:name w:val="Subtitle"/>
    <w:basedOn w:val="14"/>
    <w:next w:val="Style22"/>
    <w:link w:val="16"/>
    <w:uiPriority w:val="99"/>
    <w:qFormat/>
    <w:rsid w:val="00ac4706"/>
    <w:pPr>
      <w:jc w:val="center"/>
    </w:pPr>
    <w:rPr>
      <w:i/>
      <w:iCs/>
    </w:rPr>
  </w:style>
  <w:style w:type="paragraph" w:styleId="Style28" w:customStyle="1">
    <w:name w:val="Содержимое таблицы"/>
    <w:basedOn w:val="Normal"/>
    <w:uiPriority w:val="99"/>
    <w:qFormat/>
    <w:rsid w:val="00ac4706"/>
    <w:pPr>
      <w:suppressLineNumbers/>
    </w:pPr>
    <w:rPr/>
  </w:style>
  <w:style w:type="paragraph" w:styleId="Style29" w:customStyle="1">
    <w:name w:val="Заголовок таблицы"/>
    <w:basedOn w:val="Style28"/>
    <w:uiPriority w:val="99"/>
    <w:qFormat/>
    <w:rsid w:val="00ac4706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qFormat/>
    <w:rsid w:val="00ac4706"/>
    <w:pPr>
      <w:widowControl/>
      <w:suppressAutoHyphens w:val="false"/>
      <w:spacing w:before="30" w:after="30"/>
    </w:pPr>
    <w:rPr>
      <w:rFonts w:eastAsia="MS Mincho" w:cs="Times New Roman"/>
      <w:kern w:val="0"/>
      <w:sz w:val="20"/>
      <w:szCs w:val="20"/>
      <w:lang w:eastAsia="ar-SA" w:bidi="ar-SA"/>
    </w:rPr>
  </w:style>
  <w:style w:type="paragraph" w:styleId="Style30">
    <w:name w:val="Body Text Indent"/>
    <w:basedOn w:val="Normal"/>
    <w:link w:val="af4"/>
    <w:uiPriority w:val="99"/>
    <w:semiHidden/>
    <w:rsid w:val="00ac4706"/>
    <w:pPr>
      <w:spacing w:before="0" w:after="120"/>
      <w:ind w:left="283" w:hanging="0"/>
    </w:pPr>
    <w:rPr>
      <w:szCs w:val="21"/>
    </w:rPr>
  </w:style>
  <w:style w:type="paragraph" w:styleId="Style31" w:customStyle="1">
    <w:name w:val="Верхний и нижний колонтитулы"/>
    <w:basedOn w:val="Normal"/>
    <w:qFormat/>
    <w:rsid w:val="00ac4706"/>
    <w:pPr/>
    <w:rPr/>
  </w:style>
  <w:style w:type="paragraph" w:styleId="Style32">
    <w:name w:val="Header"/>
    <w:basedOn w:val="Normal"/>
    <w:link w:val="af7"/>
    <w:uiPriority w:val="99"/>
    <w:semiHidden/>
    <w:rsid w:val="00ac4706"/>
    <w:pPr>
      <w:tabs>
        <w:tab w:val="clear" w:pos="708"/>
        <w:tab w:val="center" w:pos="4677" w:leader="none"/>
        <w:tab w:val="right" w:pos="9355" w:leader="none"/>
      </w:tabs>
    </w:pPr>
    <w:rPr>
      <w:szCs w:val="21"/>
    </w:rPr>
  </w:style>
  <w:style w:type="paragraph" w:styleId="Style33">
    <w:name w:val="Footer"/>
    <w:basedOn w:val="Normal"/>
    <w:link w:val="af9"/>
    <w:uiPriority w:val="99"/>
    <w:semiHidden/>
    <w:rsid w:val="00ac4706"/>
    <w:pPr>
      <w:tabs>
        <w:tab w:val="clear" w:pos="708"/>
        <w:tab w:val="center" w:pos="4677" w:leader="none"/>
        <w:tab w:val="right" w:pos="9355" w:leader="none"/>
      </w:tabs>
    </w:pPr>
    <w:rPr>
      <w:szCs w:val="21"/>
    </w:rPr>
  </w:style>
  <w:style w:type="paragraph" w:styleId="ConsPlusNormal" w:customStyle="1">
    <w:name w:val="ConsPlusNormal"/>
    <w:uiPriority w:val="99"/>
    <w:qFormat/>
    <w:rsid w:val="00ac4706"/>
    <w:pPr>
      <w:widowControl w:val="false"/>
      <w:suppressAutoHyphens w:val="true"/>
      <w:bidi w:val="0"/>
      <w:spacing w:lineRule="auto" w:line="240" w:before="0" w:after="0"/>
      <w:jc w:val="left"/>
    </w:pPr>
    <w:rPr>
      <w:rFonts w:ascii="Arial" w:hAnsi="Arial" w:eastAsia="Times New Roman" w:cs="Arial"/>
      <w:color w:val="auto"/>
      <w:kern w:val="0"/>
      <w:sz w:val="20"/>
      <w:szCs w:val="20"/>
      <w:lang w:eastAsia="ru-RU" w:val="ru-RU" w:bidi="ar-SA"/>
    </w:rPr>
  </w:style>
  <w:style w:type="paragraph" w:styleId="NoSpacing">
    <w:name w:val="No Spacing"/>
    <w:uiPriority w:val="99"/>
    <w:qFormat/>
    <w:rsid w:val="00ac4706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chart" Target="charts/chart1.xml"/><Relationship Id="rId3" Type="http://schemas.openxmlformats.org/officeDocument/2006/relationships/chart" Target="charts/chart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charts/_rels/chart1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.xlsx"/>
</Relationships>
</file>

<file path=word/charts/_rels/chart2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1.xlsx"/>
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1" lang="ru-RU" sz="1200" spc="-1" strike="noStrike">
                <a:solidFill>
                  <a:srgbClr val="000000"/>
                </a:solidFill>
                <a:latin typeface="Times New Roman"/>
              </a:defRPr>
            </a:pPr>
            <a:r>
              <a:rPr b="1" lang="ru-RU" sz="1200" spc="-1" strike="noStrike">
                <a:solidFill>
                  <a:srgbClr val="000000"/>
                </a:solidFill>
                <a:latin typeface="Times New Roman"/>
              </a:rPr>
              <a:t>Отметки за ВПР по истории в 6-х классах</a:t>
            </a:r>
          </a:p>
        </c:rich>
      </c:tx>
      <c:layout>
        <c:manualLayout>
          <c:xMode val="edge"/>
          <c:yMode val="edge"/>
          <c:x val="0.123835287045386"/>
          <c:y val="0.0351373855120733"/>
        </c:manualLayout>
      </c:layout>
      <c:overlay val="0"/>
      <c:spPr>
        <a:noFill/>
        <a:ln w="0">
          <a:noFill/>
        </a:ln>
      </c:spPr>
    </c:title>
    <c:autoTitleDeleted val="0"/>
    <c:view3D>
      <c:rotX val="15"/>
      <c:rotY val="20"/>
      <c:rAngAx val="1"/>
      <c:perspective val="30"/>
    </c:view3D>
    <c:floor>
      <c:spPr>
        <a:noFill/>
        <a:ln w="9360">
          <a:solidFill>
            <a:srgbClr val="878787"/>
          </a:solidFill>
          <a:round/>
        </a:ln>
      </c:spPr>
    </c:floor>
    <c:sideWall>
      <c:spPr>
        <a:noFill/>
        <a:ln w="9360">
          <a:solidFill>
            <a:srgbClr val="878787"/>
          </a:solidFill>
          <a:round/>
        </a:ln>
      </c:spPr>
    </c:sideWall>
    <c:backWall>
      <c:spPr>
        <a:noFill/>
        <a:ln w="9360">
          <a:solidFill>
            <a:srgbClr val="878787"/>
          </a:solidFill>
          <a:round/>
        </a:ln>
      </c:spPr>
    </c:backWall>
    <c:plotArea>
      <c:bar3D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Отметки за ВПР по математике в 7-х классах</c:v>
                </c:pt>
              </c:strCache>
            </c:strRef>
          </c:tx>
          <c:spPr>
            <a:solidFill>
              <a:srgbClr val="93cddd"/>
            </a:solidFill>
            <a:ln w="0">
              <a:noFill/>
            </a:ln>
          </c:spPr>
          <c:invertIfNegative val="0"/>
          <c:dLbls>
            <c:numFmt formatCode="0.00%" sourceLinked="0"/>
            <c:txPr>
              <a:bodyPr wrap="non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showLegendKey val="0"/>
            <c:showVal val="1"/>
            <c:showCatName val="0"/>
            <c:showSerName val="0"/>
            <c:showPercent val="0"/>
            <c:separator>; </c:separator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11"/>
                <c:pt idx="0">
                  <c:v/>
                </c:pt>
                <c:pt idx="1">
                  <c:v/>
                </c:pt>
                <c:pt idx="2">
                  <c:v/>
                </c:pt>
                <c:pt idx="3">
                  <c:v/>
                </c:pt>
                <c:pt idx="4">
                  <c:v/>
                </c:pt>
                <c:pt idx="5">
                  <c:v/>
                </c:pt>
                <c:pt idx="6">
                  <c:v/>
                </c:pt>
                <c:pt idx="7">
                  <c:v/>
                </c:pt>
                <c:pt idx="8">
                  <c:v/>
                </c:pt>
                <c:pt idx="9">
                  <c:v/>
                </c:pt>
                <c:pt idx="10">
                  <c:v/>
                </c:pt>
              </c:strCache>
            </c:strRef>
          </c:cat>
          <c:val>
            <c:numRef>
              <c:f>0</c:f>
              <c:numCache>
                <c:formatCode>General</c:formatCode>
                <c:ptCount val="11"/>
                <c:pt idx="0">
                  <c:v>0.212</c:v>
                </c:pt>
                <c:pt idx="1">
                  <c:v>0.47</c:v>
                </c:pt>
                <c:pt idx="2">
                  <c:v>0.242</c:v>
                </c:pt>
                <c:pt idx="3">
                  <c:v>0.076</c:v>
                </c:pt>
              </c:numCache>
            </c:numRef>
          </c:val>
        </c:ser>
        <c:gapWidth val="150"/>
        <c:shape val="box"/>
        <c:axId val="89719211"/>
        <c:axId val="18083290"/>
        <c:axId val="0"/>
      </c:bar3DChart>
      <c:catAx>
        <c:axId val="89719211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18083290"/>
        <c:crosses val="autoZero"/>
        <c:auto val="1"/>
        <c:lblAlgn val="ctr"/>
        <c:lblOffset val="100"/>
        <c:noMultiLvlLbl val="0"/>
      </c:catAx>
      <c:valAx>
        <c:axId val="18083290"/>
        <c:scaling>
          <c:orientation val="minMax"/>
          <c:max val="1"/>
          <c:min val="0"/>
        </c:scaling>
        <c:delete val="0"/>
        <c:axPos val="l"/>
        <c:majorGridlines>
          <c:spPr>
            <a:ln w="9360">
              <a:solidFill>
                <a:srgbClr val="878787"/>
              </a:solidFill>
              <a:round/>
            </a:ln>
          </c:spPr>
        </c:majorGridlines>
        <c:numFmt formatCode="0.00%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89719211"/>
        <c:crosses val="autoZero"/>
        <c:crossBetween val="between"/>
      </c:valAx>
    </c:plotArea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1" lang="ru-RU" sz="1400" spc="-1" strike="noStrike">
                <a:solidFill>
                  <a:srgbClr val="000000"/>
                </a:solidFill>
                <a:latin typeface="Times New Roman"/>
              </a:defRPr>
            </a:pPr>
            <a:r>
              <a:rPr b="1" lang="ru-RU" sz="1400" spc="-1" strike="noStrike">
                <a:solidFill>
                  <a:srgbClr val="000000"/>
                </a:solidFill>
                <a:latin typeface="Times New Roman"/>
              </a:rPr>
              <a:t>Соответствие отметок </a:t>
            </a:r>
          </a:p>
        </c:rich>
      </c:tx>
      <c:overlay val="0"/>
      <c:spPr>
        <a:noFill/>
        <a:ln w="0">
          <a:noFill/>
        </a:ln>
      </c:spPr>
    </c:title>
    <c:autoTitleDeleted val="0"/>
    <c:view3D>
      <c:rotX val="15"/>
      <c:rotY val="20"/>
      <c:rAngAx val="1"/>
      <c:perspective val="30"/>
    </c:view3D>
    <c:floor>
      <c:spPr>
        <a:noFill/>
        <a:ln w="9360">
          <a:solidFill>
            <a:srgbClr val="878787"/>
          </a:solidFill>
          <a:round/>
        </a:ln>
      </c:spPr>
    </c:floor>
    <c:sideWall>
      <c:spPr>
        <a:noFill/>
        <a:ln w="9360">
          <a:solidFill>
            <a:srgbClr val="878787"/>
          </a:solidFill>
          <a:round/>
        </a:ln>
      </c:spPr>
    </c:sideWall>
    <c:backWall>
      <c:spPr>
        <a:noFill/>
        <a:ln w="9360">
          <a:solidFill>
            <a:srgbClr val="878787"/>
          </a:solidFill>
          <a:round/>
        </a:ln>
      </c:spPr>
    </c:backWall>
    <c:plotArea>
      <c:bar3D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Соответствие отметок </c:v>
                </c:pt>
              </c:strCache>
            </c:strRef>
          </c:tx>
          <c:spPr>
            <a:solidFill>
              <a:srgbClr val="4f81bd"/>
            </a:solidFill>
            <a:ln w="0">
              <a:noFill/>
            </a:ln>
          </c:spPr>
          <c:invertIfNegative val="0"/>
          <c:dPt>
            <c:idx val="0"/>
            <c:invertIfNegative val="0"/>
            <c:spPr>
              <a:solidFill>
                <a:srgbClr val="93cddd"/>
              </a:solidFill>
              <a:ln w="0">
                <a:noFill/>
              </a:ln>
            </c:spPr>
          </c:dPt>
          <c:dPt>
            <c:idx val="1"/>
            <c:invertIfNegative val="0"/>
            <c:spPr>
              <a:solidFill>
                <a:srgbClr val="93cddd"/>
              </a:solidFill>
              <a:ln w="0">
                <a:noFill/>
              </a:ln>
            </c:spPr>
          </c:dPt>
          <c:dPt>
            <c:idx val="2"/>
            <c:invertIfNegative val="0"/>
            <c:spPr>
              <a:solidFill>
                <a:srgbClr val="93cddd"/>
              </a:solidFill>
              <a:ln w="0">
                <a:noFill/>
              </a:ln>
            </c:spPr>
          </c:dPt>
          <c:dLbls>
            <c:numFmt formatCode="0.00%" sourceLinked="0"/>
            <c:dLbl>
              <c:idx val="0"/>
              <c:numFmt formatCode="0.00%" sourceLinked="0"/>
              <c:txPr>
                <a:bodyPr wrap="non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1"/>
              <c:showCatName val="0"/>
              <c:showSerName val="0"/>
              <c:showPercent val="0"/>
              <c:separator>; </c:separator>
            </c:dLbl>
            <c:dLbl>
              <c:idx val="1"/>
              <c:numFmt formatCode="0.00%" sourceLinked="0"/>
              <c:txPr>
                <a:bodyPr wrap="non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1"/>
              <c:showCatName val="0"/>
              <c:showSerName val="0"/>
              <c:showPercent val="0"/>
              <c:separator>; </c:separator>
            </c:dLbl>
            <c:dLbl>
              <c:idx val="2"/>
              <c:numFmt formatCode="0.00%" sourceLinked="0"/>
              <c:txPr>
                <a:bodyPr wrap="non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1"/>
              <c:showCatName val="0"/>
              <c:showSerName val="0"/>
              <c:showPercent val="0"/>
              <c:separator>; </c:separator>
            </c:dLbl>
            <c:txPr>
              <a:bodyPr wrap="non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showLegendKey val="0"/>
            <c:showVal val="1"/>
            <c:showCatName val="0"/>
            <c:showSerName val="0"/>
            <c:showPercent val="0"/>
            <c:separator>; </c:separator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3"/>
                <c:pt idx="0">
                  <c:v>Понизили</c:v>
                </c:pt>
                <c:pt idx="1">
                  <c:v>Подтвердили</c:v>
                </c:pt>
                <c:pt idx="2">
                  <c:v>Повысили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3"/>
                <c:pt idx="0">
                  <c:v>0.6615</c:v>
                </c:pt>
                <c:pt idx="1">
                  <c:v>0.2615</c:v>
                </c:pt>
                <c:pt idx="2">
                  <c:v>0.0769</c:v>
                </c:pt>
              </c:numCache>
            </c:numRef>
          </c:val>
        </c:ser>
        <c:gapWidth val="150"/>
        <c:shape val="box"/>
        <c:axId val="69866878"/>
        <c:axId val="38674828"/>
        <c:axId val="0"/>
      </c:bar3DChart>
      <c:catAx>
        <c:axId val="6986687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38674828"/>
        <c:crosses val="autoZero"/>
        <c:auto val="1"/>
        <c:lblAlgn val="ctr"/>
        <c:lblOffset val="100"/>
        <c:noMultiLvlLbl val="0"/>
      </c:catAx>
      <c:valAx>
        <c:axId val="38674828"/>
        <c:scaling>
          <c:orientation val="minMax"/>
        </c:scaling>
        <c:delete val="0"/>
        <c:axPos val="l"/>
        <c:majorGridlines>
          <c:spPr>
            <a:ln w="9360">
              <a:solidFill>
                <a:srgbClr val="878787"/>
              </a:solidFill>
              <a:round/>
            </a:ln>
          </c:spPr>
        </c:majorGridlines>
        <c:numFmt formatCode="0.00%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69866878"/>
        <c:crosses val="autoZero"/>
        <c:crossBetween val="between"/>
      </c:valAx>
    </c:plotArea>
    <c:legend>
      <c:legendPos val="r"/>
      <c:overlay val="0"/>
      <c:spPr>
        <a:noFill/>
        <a:ln w="0">
          <a:noFill/>
        </a:ln>
      </c:spPr>
      <c:txPr>
        <a:bodyPr/>
        <a:lstStyle/>
        <a:p>
          <a:pPr>
            <a:defRPr b="0" sz="1000" spc="-1" strike="noStrike">
              <a:solidFill>
                <a:srgbClr val="000000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LibreOffice/7.0.3.1$Windows_X86_64 LibreOffice_project/d7547858d014d4cf69878db179d326fc3483e082</Application>
  <Pages>3</Pages>
  <Words>544</Words>
  <Characters>3578</Characters>
  <CharactersWithSpaces>4021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2020-12-01T09:04:00Z</dcterms:created>
  <dc:creator>Пользователь</dc:creator>
  <dc:description/>
  <dc:language>ru-RU</dc:language>
  <cp:lastModifiedBy/>
  <dcterms:modified xsi:type="dcterms:W3CDTF">2021-03-29T14:51:35Z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