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6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"/>
        <w:gridCol w:w="23"/>
        <w:gridCol w:w="23"/>
      </w:tblGrid>
      <w:tr>
        <w:trPr>
          <w:trHeight w:val="3258" w:hRule="atLeast"/>
        </w:trPr>
        <w:tc>
          <w:tcPr>
            <w:tcW w:w="23" w:type="dxa"/>
            <w:tcBorders/>
          </w:tcPr>
          <w:p>
            <w:pPr>
              <w:pStyle w:val="Style24"/>
              <w:spacing w:before="0" w:after="0"/>
              <w:jc w:val="center"/>
              <w:rPr>
                <w:rStyle w:val="Style13"/>
              </w:rPr>
            </w:pPr>
            <w:hyperlink r:id="rId2" w:tgtFrame="_top">
              <w:r>
                <w:rPr/>
              </w:r>
            </w:hyperlink>
          </w:p>
        </w:tc>
        <w:tc>
          <w:tcPr>
            <w:tcW w:w="23" w:type="dxa"/>
            <w:vMerge w:val="restart"/>
            <w:tcBorders/>
          </w:tcPr>
          <w:p>
            <w:pPr>
              <w:pStyle w:val="Style24"/>
              <w:tabs>
                <w:tab w:val="clear" w:pos="708"/>
                <w:tab w:val="left" w:pos="4143" w:leader="none"/>
                <w:tab w:val="left" w:pos="4251" w:leader="none"/>
                <w:tab w:val="left" w:pos="7380" w:leader="none"/>
              </w:tabs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" w:type="dxa"/>
            <w:vMerge w:val="restart"/>
            <w:tcBorders/>
            <w:tcMar>
              <w:bottom w:w="85" w:type="dxa"/>
            </w:tcMar>
          </w:tcPr>
          <w:p>
            <w:pPr>
              <w:pStyle w:val="Style24"/>
              <w:tabs>
                <w:tab w:val="clear" w:pos="708"/>
                <w:tab w:val="left" w:pos="4143" w:leader="none"/>
                <w:tab w:val="left" w:pos="4251" w:leader="none"/>
                <w:tab w:val="left" w:pos="7380" w:leader="none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58" w:hRule="atLeast"/>
        </w:trPr>
        <w:tc>
          <w:tcPr>
            <w:tcW w:w="23" w:type="dxa"/>
            <w:tcBorders/>
          </w:tcPr>
          <w:tbl>
            <w:tblPr>
              <w:tblW w:w="4570" w:type="dxa"/>
              <w:jc w:val="left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</w:tblPr>
            <w:tblGrid>
              <w:gridCol w:w="557"/>
              <w:gridCol w:w="1566"/>
              <w:gridCol w:w="353"/>
              <w:gridCol w:w="2094"/>
            </w:tblGrid>
            <w:tr>
              <w:trPr>
                <w:trHeight w:val="329" w:hRule="atLeast"/>
              </w:trPr>
              <w:tc>
                <w:tcPr>
                  <w:tcW w:w="2123" w:type="dxa"/>
                  <w:gridSpan w:val="2"/>
                  <w:tcBorders>
                    <w:bottom w:val="single" w:sz="4" w:space="0" w:color="000000"/>
                  </w:tcBorders>
                  <w:vAlign w:val="bottom"/>
                </w:tcPr>
                <w:p>
                  <w:pPr>
                    <w:pStyle w:val="Style24"/>
                    <w:tabs>
                      <w:tab w:val="clear" w:pos="708"/>
                    </w:tabs>
                    <w:spacing w:before="0" w:after="0"/>
                    <w:ind w:hanging="0"/>
                    <w:jc w:val="center"/>
                    <w:rPr/>
                  </w:pP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%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  <w:lang w:val="en-US"/>
                    </w:rPr>
                    <w:t>REG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_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  <w:lang w:val="en-US"/>
                    </w:rPr>
                    <w:t>DATE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%</w:t>
                  </w:r>
                </w:p>
              </w:tc>
              <w:tc>
                <w:tcPr>
                  <w:tcW w:w="353" w:type="dxa"/>
                  <w:tcBorders/>
                  <w:vAlign w:val="bottom"/>
                </w:tcPr>
                <w:p>
                  <w:pPr>
                    <w:pStyle w:val="Style24"/>
                    <w:spacing w:before="0" w:after="0"/>
                    <w:jc w:val="center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cs="Liberation Serif" w:ascii="Liberation Serif" w:hAnsi="Liberation Serif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94" w:type="dxa"/>
                  <w:tcBorders>
                    <w:bottom w:val="single" w:sz="4" w:space="0" w:color="000000"/>
                  </w:tcBorders>
                  <w:vAlign w:val="bottom"/>
                </w:tcPr>
                <w:p>
                  <w:pPr>
                    <w:pStyle w:val="Style24"/>
                    <w:spacing w:before="0" w:after="0"/>
                    <w:ind w:right="224" w:hanging="0"/>
                    <w:jc w:val="center"/>
                    <w:rPr/>
                  </w:pP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%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  <w:lang w:val="en-US"/>
                    </w:rPr>
                    <w:t>REG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_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  <w:lang w:val="en-US"/>
                    </w:rPr>
                    <w:t>NUM</w:t>
                  </w:r>
                  <w:r>
                    <w:rPr>
                      <w:rStyle w:val="Style12"/>
                      <w:rFonts w:cs="Liberation Serif" w:ascii="Liberation Serif" w:hAnsi="Liberation Serif"/>
                      <w:color w:val="F2F2F2"/>
                    </w:rPr>
                    <w:t>%</w:t>
                  </w:r>
                </w:p>
              </w:tc>
            </w:tr>
            <w:tr>
              <w:trPr>
                <w:trHeight w:val="329" w:hRule="atLeast"/>
              </w:trPr>
              <w:tc>
                <w:tcPr>
                  <w:tcW w:w="557" w:type="dxa"/>
                  <w:tcBorders>
                    <w:top w:val="single" w:sz="4" w:space="0" w:color="000000"/>
                  </w:tcBorders>
                  <w:vAlign w:val="bottom"/>
                </w:tcPr>
                <w:p>
                  <w:pPr>
                    <w:pStyle w:val="Style24"/>
                    <w:tabs>
                      <w:tab w:val="clear" w:pos="708"/>
                    </w:tabs>
                    <w:spacing w:before="0" w:after="0"/>
                    <w:ind w:left="79" w:hanging="107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cs="Liberation Serif" w:ascii="Liberation Serif" w:hAnsi="Liberation Serif"/>
                      <w:sz w:val="20"/>
                      <w:szCs w:val="20"/>
                    </w:rPr>
                    <w:t>На №</w:t>
                  </w:r>
                </w:p>
              </w:tc>
              <w:tc>
                <w:tcPr>
                  <w:tcW w:w="1566" w:type="dxa"/>
                  <w:tcBorders>
                    <w:bottom w:val="single" w:sz="4" w:space="0" w:color="000000"/>
                  </w:tcBorders>
                  <w:vAlign w:val="bottom"/>
                </w:tcPr>
                <w:p>
                  <w:pPr>
                    <w:pStyle w:val="Style24"/>
                    <w:spacing w:before="0" w:after="0"/>
                    <w:rPr>
                      <w:rFonts w:ascii="Liberation Serif" w:hAnsi="Liberation Serif" w:cs="Liberation Serif"/>
                      <w:sz w:val="18"/>
                      <w:szCs w:val="18"/>
                    </w:rPr>
                  </w:pPr>
                  <w:r>
                    <w:rPr>
                      <w:rFonts w:cs="Liberation Serif" w:ascii="Liberation Serif" w:hAnsi="Liberation Serif"/>
                      <w:sz w:val="18"/>
                      <w:szCs w:val="18"/>
                    </w:rPr>
                  </w:r>
                </w:p>
              </w:tc>
              <w:tc>
                <w:tcPr>
                  <w:tcW w:w="353" w:type="dxa"/>
                  <w:tcBorders/>
                  <w:vAlign w:val="bottom"/>
                </w:tcPr>
                <w:p>
                  <w:pPr>
                    <w:pStyle w:val="Style24"/>
                    <w:spacing w:before="0" w:after="0"/>
                    <w:jc w:val="center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cs="Liberation Serif" w:ascii="Liberation Serif" w:hAnsi="Liberation Serif"/>
                      <w:sz w:val="20"/>
                      <w:szCs w:val="20"/>
                    </w:rPr>
                    <w:t>от</w:t>
                  </w:r>
                </w:p>
              </w:tc>
              <w:tc>
                <w:tcPr>
                  <w:tcW w:w="2094" w:type="dxa"/>
                  <w:tcBorders>
                    <w:bottom w:val="single" w:sz="4" w:space="0" w:color="000000"/>
                  </w:tcBorders>
                  <w:vAlign w:val="bottom"/>
                </w:tcPr>
                <w:p>
                  <w:pPr>
                    <w:pStyle w:val="Style24"/>
                    <w:spacing w:before="0" w:after="0"/>
                    <w:rPr>
                      <w:rFonts w:ascii="Liberation Serif" w:hAnsi="Liberation Serif" w:cs="Liberation Serif"/>
                      <w:sz w:val="18"/>
                      <w:szCs w:val="18"/>
                    </w:rPr>
                  </w:pPr>
                  <w:r>
                    <w:rPr>
                      <w:rFonts w:cs="Liberation Serif" w:ascii="Liberation Serif" w:hAnsi="Liberation Serif"/>
                      <w:sz w:val="18"/>
                      <w:szCs w:val="18"/>
                    </w:rPr>
                    <w:t> </w:t>
                  </w:r>
                </w:p>
              </w:tc>
            </w:tr>
          </w:tbl>
          <w:p>
            <w:pPr>
              <w:pStyle w:val="Style24"/>
              <w:ind w:right="-6" w:hanging="0"/>
              <w:jc w:val="center"/>
              <w:rPr>
                <w:rFonts w:ascii="Liberation Serif" w:hAnsi="Liberation Serif" w:cs="Liberation Serif"/>
                <w:b/>
                <w:b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/>
                <w:sz w:val="28"/>
                <w:szCs w:val="28"/>
              </w:rPr>
            </w:r>
          </w:p>
        </w:tc>
        <w:tc>
          <w:tcPr>
            <w:tcW w:w="23" w:type="dxa"/>
            <w:vMerge w:val="continue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" w:type="dxa"/>
            <w:vMerge w:val="continue"/>
            <w:tcBorders/>
            <w:tcMar>
              <w:bottom w:w="8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Style24"/>
        <w:tabs>
          <w:tab w:val="clear" w:pos="708"/>
          <w:tab w:val="left" w:pos="4320" w:leader="none"/>
        </w:tabs>
        <w:spacing w:before="0"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tbl>
      <w:tblPr>
        <w:tblW w:w="4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6"/>
      </w:tblGrid>
      <w:tr>
        <w:trPr/>
        <w:tc>
          <w:tcPr>
            <w:tcW w:w="4786" w:type="dxa"/>
            <w:tcBorders/>
          </w:tcPr>
          <w:p>
            <w:pPr>
              <w:pStyle w:val="Style24"/>
              <w:widowControl w:val="false"/>
              <w:autoSpaceDE w:val="false"/>
              <w:spacing w:before="0" w:after="0"/>
              <w:rPr/>
            </w:pPr>
            <w:r>
              <w:rPr>
                <w:rStyle w:val="Style12"/>
                <w:rFonts w:ascii="Liberation Serif" w:hAnsi="Liberation Serif"/>
                <w:sz w:val="28"/>
                <w:szCs w:val="28"/>
              </w:rPr>
              <w:t>О запуске второго сезона Всероссийского студенческого проекта «Твой ход»</w:t>
            </w:r>
          </w:p>
        </w:tc>
      </w:tr>
    </w:tbl>
    <w:p>
      <w:pPr>
        <w:pStyle w:val="Style24"/>
        <w:tabs>
          <w:tab w:val="clear" w:pos="708"/>
        </w:tabs>
        <w:spacing w:before="0" w:after="0"/>
        <w:ind w:left="-62" w:hanging="1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spacing w:before="0" w:after="0"/>
        <w:ind w:hanging="1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/>
      </w:pPr>
      <w:r>
        <w:rPr>
          <w:rStyle w:val="Style12"/>
          <w:rFonts w:eastAsia="Times New Roman" w:cs="Liberation Serif" w:ascii="Liberation Serif" w:hAnsi="Liberation Serif"/>
          <w:sz w:val="28"/>
          <w:szCs w:val="28"/>
          <w:lang w:eastAsia="ru-RU"/>
        </w:rPr>
        <w:t>По инициативе Президента Российской Федерации В.В. Путина в 2021 году состоялся запуск Всероссийского студенческого проекта «Твой ход» (далее – проект). По итогам проекта в 2021 году 7 студентов из Свердловской области стали победителями конкурсной части проекта и выиграли по одному миллиону рублей.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/>
      </w:pPr>
      <w:r>
        <w:rPr>
          <w:rStyle w:val="Style12"/>
          <w:rFonts w:eastAsia="Times New Roman" w:cs="Liberation Serif" w:ascii="Liberation Serif" w:hAnsi="Liberation Serif"/>
          <w:sz w:val="28"/>
          <w:szCs w:val="28"/>
          <w:lang w:eastAsia="ru-RU"/>
        </w:rPr>
        <w:t>25 января 2022 года состоялось торжественное открытие второго сезона проекта. Организаторами второго сезона проекта являются автономная некоммерческая организация «Россия – страна возможностей» и Федеральное агентство по делам молодежи при поддержке Министерства науки и высшего образования Российской Федерации.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/>
      </w:pPr>
      <w:r>
        <w:rPr>
          <w:rStyle w:val="Style12"/>
          <w:rFonts w:eastAsia="Times New Roman" w:cs="Liberation Serif" w:ascii="Liberation Serif" w:hAnsi="Liberation Serif"/>
          <w:sz w:val="28"/>
          <w:szCs w:val="28"/>
          <w:lang w:eastAsia="ru-RU"/>
        </w:rPr>
        <w:t>Проект является крупнейшей площадкой для реализации потенциала студенческой молодежи, создания для нее условий профессионального становления. В рамках проекта каждый участник получит свою индивидуальную траекторию профессионального развития и возможность ценностного преобразования мира вокруг себя.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Проект состоит из конкурсной и неконкурсной частей. Принимать участие во внеконкурсных активностях могут все участники онлайн-платформы проекта вне зависимости от статуса и возраста. Неконкурсная часть включает в себя развитие soft skills (коммуникация, дикция, речь, публичные выступления) через: </w:t>
      </w:r>
    </w:p>
    <w:p>
      <w:pPr>
        <w:pStyle w:val="Style24"/>
        <w:widowControl w:val="false"/>
        <w:numPr>
          <w:ilvl w:val="0"/>
          <w:numId w:val="2"/>
        </w:numPr>
        <w:tabs>
          <w:tab w:val="clear" w:pos="708"/>
        </w:tabs>
        <w:autoSpaceDE w:val="false"/>
        <w:spacing w:before="0" w:after="0"/>
        <w:ind w:left="0"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самоактуализацию (опросы, тесты, деловые игры);</w:t>
      </w:r>
    </w:p>
    <w:p>
      <w:pPr>
        <w:pStyle w:val="Style24"/>
        <w:widowControl w:val="false"/>
        <w:numPr>
          <w:ilvl w:val="0"/>
          <w:numId w:val="2"/>
        </w:numPr>
        <w:tabs>
          <w:tab w:val="clear" w:pos="708"/>
        </w:tabs>
        <w:autoSpaceDE w:val="false"/>
        <w:spacing w:before="0" w:after="0"/>
        <w:ind w:left="0"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стажировки;</w:t>
      </w:r>
    </w:p>
    <w:p>
      <w:pPr>
        <w:pStyle w:val="Style24"/>
        <w:widowControl w:val="false"/>
        <w:numPr>
          <w:ilvl w:val="0"/>
          <w:numId w:val="2"/>
        </w:numPr>
        <w:tabs>
          <w:tab w:val="clear" w:pos="708"/>
        </w:tabs>
        <w:autoSpaceDE w:val="false"/>
        <w:spacing w:before="0" w:after="0"/>
        <w:ind w:left="0" w:firstLine="709"/>
        <w:jc w:val="both"/>
        <w:rPr/>
      </w:pPr>
      <w:r>
        <w:rPr>
          <w:rStyle w:val="Style12"/>
          <w:rFonts w:eastAsia="Times New Roman" w:cs="Liberation Serif" w:ascii="Liberation Serif" w:hAnsi="Liberation Serif"/>
          <w:sz w:val="28"/>
          <w:szCs w:val="28"/>
          <w:lang w:eastAsia="ru-RU"/>
        </w:rPr>
        <w:t>образовательный трек по 11 направлениям («Открываю страну», «Расширяю границы возможного», «Двигаю прогресс», «Меняю города», «Вдохновляю», «Берегу природу», «Развиваю среду», «Делаю добро», «Помню о важном», «Говорю о главном», «Создаю новое»).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Принять участие в конкурсной части проекта могут граждане Российской Федерации в возрасте до 35 лет, которые на сентябрь 2022 года будут являться студентами (бакалавриат, специалитет, магистратура) высшего образовательного учреждения вне зависимости от формы обучения. Конкурсная часть проекта состоит из трех треков:</w:t>
      </w:r>
    </w:p>
    <w:p>
      <w:pPr>
        <w:pStyle w:val="Style24"/>
        <w:widowControl w:val="false"/>
        <w:numPr>
          <w:ilvl w:val="0"/>
          <w:numId w:val="3"/>
        </w:numPr>
        <w:tabs>
          <w:tab w:val="clear" w:pos="708"/>
        </w:tabs>
        <w:autoSpaceDE w:val="false"/>
        <w:spacing w:before="0" w:after="0"/>
        <w:ind w:left="0"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«Определяю» (микроактивности для изменения среды вуза). Итоговый приз: 200 исследовательских экспедиций;</w:t>
      </w:r>
    </w:p>
    <w:p>
      <w:pPr>
        <w:pStyle w:val="Style24"/>
        <w:widowControl w:val="false"/>
        <w:numPr>
          <w:ilvl w:val="0"/>
          <w:numId w:val="3"/>
        </w:numPr>
        <w:tabs>
          <w:tab w:val="clear" w:pos="708"/>
        </w:tabs>
        <w:autoSpaceDE w:val="false"/>
        <w:spacing w:before="0" w:after="0"/>
        <w:ind w:left="0"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«Создаю» (сопроектировка неконкурсной части). Предоставляет возможность самореализоваться через создание и организацию активностей для развития портфолио или предложения по развитию проекта. Итоговый приз: 200 поездок в рамках программы «Больше, чем путешествие»;</w:t>
      </w:r>
    </w:p>
    <w:p>
      <w:pPr>
        <w:pStyle w:val="Style24"/>
        <w:widowControl w:val="false"/>
        <w:numPr>
          <w:ilvl w:val="0"/>
          <w:numId w:val="3"/>
        </w:numPr>
        <w:tabs>
          <w:tab w:val="clear" w:pos="708"/>
        </w:tabs>
        <w:autoSpaceDE w:val="false"/>
        <w:spacing w:before="0" w:after="0"/>
        <w:ind w:left="0"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«Делаю» (реализация проектов по 11 направлениям). Итоговые призы: лидер команды – 1 миллион рублей, топ-50 команд по всем трекам – путешествие на всю команду.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Заявки на участие в конкурсной части проекта принимаются от действующих студентов учреждений высшего образования, студентов выпускных курсов учреждений среднего профессионального образования и 11-х классов учреждений среднего общего образования до 31 мая 2022 года.</w:t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>
          <w:rStyle w:val="Style12"/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24"/>
        <w:widowControl w:val="false"/>
        <w:autoSpaceDE w:val="false"/>
        <w:spacing w:before="0" w:after="0"/>
        <w:ind w:firstLine="709"/>
        <w:jc w:val="both"/>
        <w:rPr>
          <w:rStyle w:val="Style12"/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418" w:right="567" w:header="720" w:top="227" w:footer="720" w:bottom="1134" w:gutter="0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>
        <w:rFonts w:ascii="Liberation Serif" w:hAnsi="Liberation Serif" w:cs="Liberation Serif"/>
        <w:sz w:val="20"/>
        <w:szCs w:val="20"/>
      </w:rPr>
    </w:pPr>
    <w:r>
      <w:rPr>
        <w:rFonts w:cs="Liberation Serif" w:ascii="Liberation Serif" w:hAnsi="Liberation Serif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>
        <w:rStyle w:val="Style12"/>
        <w:rFonts w:ascii="Liberation Serif" w:hAnsi="Liberation Serif" w:cs="Liberation Serif"/>
        <w:sz w:val="28"/>
        <w:szCs w:val="28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211" w:hanging="360"/>
      </w:pPr>
      <w:rPr>
        <w:sz w:val="28"/>
        <w:szCs w:val="28"/>
        <w:rFonts w:ascii="Liberation Serif" w:hAnsi="Liberation Serif" w:cs="Liberation Seri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2">
    <w:name w:val="Heading 2"/>
    <w:basedOn w:val="Style24"/>
    <w:next w:val="Style24"/>
    <w:qFormat/>
    <w:pPr>
      <w:keepNext w:val="true"/>
      <w:numPr>
        <w:ilvl w:val="1"/>
        <w:numId w:val="1"/>
      </w:numPr>
      <w:suppressAutoHyphens w:val="false"/>
      <w:spacing w:before="0" w:after="0"/>
      <w:jc w:val="center"/>
      <w:textAlignment w:val="auto"/>
      <w:outlineLvl w:val="1"/>
    </w:pPr>
    <w:rPr>
      <w:rFonts w:ascii="Times New Roman" w:hAnsi="Times New Roman" w:eastAsia="Times New Roman"/>
      <w:sz w:val="28"/>
      <w:szCs w:val="20"/>
      <w:lang w:eastAsia="ru-RU"/>
    </w:rPr>
  </w:style>
  <w:style w:type="paragraph" w:styleId="4">
    <w:name w:val="Heading 4"/>
    <w:basedOn w:val="Style24"/>
    <w:next w:val="Style24"/>
    <w:qFormat/>
    <w:pPr>
      <w:keepNext w:val="true"/>
      <w:numPr>
        <w:ilvl w:val="3"/>
        <w:numId w:val="1"/>
      </w:numPr>
      <w:suppressAutoHyphens w:val="false"/>
      <w:spacing w:before="0" w:after="0"/>
      <w:jc w:val="center"/>
      <w:textAlignment w:val="auto"/>
      <w:outlineLvl w:val="3"/>
    </w:pPr>
    <w:rPr>
      <w:rFonts w:ascii="Times New Roman" w:hAnsi="Times New Roman" w:eastAsia="Times New Roman"/>
      <w:b/>
      <w:sz w:val="28"/>
      <w:szCs w:val="20"/>
      <w:lang w:eastAsia="ru-RU"/>
    </w:rPr>
  </w:style>
  <w:style w:type="character" w:styleId="Style12">
    <w:name w:val="Основной шрифт абзаца"/>
    <w:qFormat/>
    <w:rPr/>
  </w:style>
  <w:style w:type="character" w:styleId="21">
    <w:name w:val="Заголовок 2 Знак"/>
    <w:basedOn w:val="Style12"/>
    <w:qFormat/>
    <w:rPr>
      <w:rFonts w:ascii="Times New Roman" w:hAnsi="Times New Roman" w:eastAsia="Times New Roman"/>
      <w:sz w:val="28"/>
      <w:szCs w:val="20"/>
      <w:lang w:eastAsia="ru-RU"/>
    </w:rPr>
  </w:style>
  <w:style w:type="character" w:styleId="41">
    <w:name w:val="Заголовок 4 Знак"/>
    <w:basedOn w:val="Style12"/>
    <w:qFormat/>
    <w:rPr>
      <w:rFonts w:ascii="Times New Roman" w:hAnsi="Times New Roman" w:eastAsia="Times New Roman"/>
      <w:b/>
      <w:sz w:val="28"/>
      <w:szCs w:val="20"/>
      <w:lang w:eastAsia="ru-RU"/>
    </w:rPr>
  </w:style>
  <w:style w:type="character" w:styleId="Style13">
    <w:name w:val="Гиперссылка"/>
    <w:qFormat/>
    <w:rPr>
      <w:rFonts w:ascii="Times New Roman" w:hAnsi="Times New Roman" w:cs="Times New Roman"/>
      <w:color w:val="0000FF"/>
      <w:u w:val="single"/>
    </w:rPr>
  </w:style>
  <w:style w:type="character" w:styleId="Style14">
    <w:name w:val="Текст выноски Знак"/>
    <w:basedOn w:val="Style12"/>
    <w:qFormat/>
    <w:rPr>
      <w:rFonts w:ascii="Segoe UI" w:hAnsi="Segoe UI" w:cs="Segoe UI"/>
      <w:sz w:val="18"/>
      <w:szCs w:val="18"/>
    </w:rPr>
  </w:style>
  <w:style w:type="character" w:styleId="Style15">
    <w:name w:val="Верхний колонтитул Знак"/>
    <w:basedOn w:val="Style12"/>
    <w:qFormat/>
    <w:rPr/>
  </w:style>
  <w:style w:type="character" w:styleId="Style16">
    <w:name w:val="Нижний колонтитул Знак"/>
    <w:basedOn w:val="Style12"/>
    <w:qFormat/>
    <w:rPr/>
  </w:style>
  <w:style w:type="character" w:styleId="Style17">
    <w:name w:val="Знак примечания"/>
    <w:basedOn w:val="Style12"/>
    <w:qFormat/>
    <w:rPr>
      <w:sz w:val="16"/>
      <w:szCs w:val="16"/>
    </w:rPr>
  </w:style>
  <w:style w:type="character" w:styleId="Style18">
    <w:name w:val="Текст примечания Знак"/>
    <w:basedOn w:val="Style12"/>
    <w:qFormat/>
    <w:rPr>
      <w:sz w:val="20"/>
      <w:szCs w:val="20"/>
    </w:rPr>
  </w:style>
  <w:style w:type="character" w:styleId="Style19">
    <w:name w:val="Тема примечания Знак"/>
    <w:basedOn w:val="Style18"/>
    <w:qFormat/>
    <w:rPr>
      <w:b/>
      <w:bCs/>
      <w:sz w:val="20"/>
      <w:szCs w:val="20"/>
    </w:rPr>
  </w:style>
  <w:style w:type="character" w:styleId="Style20">
    <w:name w:val="Просмотренная гиперссылка"/>
    <w:basedOn w:val="Style12"/>
    <w:qFormat/>
    <w:rPr>
      <w:color w:val="954F72"/>
      <w:u w:val="single"/>
    </w:rPr>
  </w:style>
  <w:style w:type="character" w:styleId="WWCharLFO1LVL1">
    <w:name w:val="WW_CharLFO1LVL1"/>
    <w:qFormat/>
    <w:rPr>
      <w:rFonts w:ascii="Liberation Serif" w:hAnsi="Liberation Serif" w:cs="Liberation Serif"/>
      <w:sz w:val="28"/>
      <w:szCs w:val="28"/>
    </w:rPr>
  </w:style>
  <w:style w:type="character" w:styleId="WWCharLFO3LVL1">
    <w:name w:val="WW_CharLFO3LVL1"/>
    <w:qFormat/>
    <w:rPr>
      <w:rFonts w:ascii="Liberation Serif" w:hAnsi="Liberation Serif" w:cs="Liberation Serif"/>
      <w:sz w:val="28"/>
      <w:szCs w:val="28"/>
    </w:rPr>
  </w:style>
  <w:style w:type="character" w:styleId="Style21">
    <w:name w:val="Интернет-ссылка"/>
    <w:rPr>
      <w:color w:val="000080"/>
      <w:u w:val="single"/>
      <w:lang w:val="zxx" w:eastAsia="zxx" w:bidi="zxx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25">
    <w:name w:val="Текст выноски"/>
    <w:basedOn w:val="Style24"/>
    <w:qFormat/>
    <w:pPr>
      <w:suppressAutoHyphens w:val="true"/>
      <w:spacing w:before="0" w:after="0"/>
    </w:pPr>
    <w:rPr>
      <w:rFonts w:ascii="Segoe UI" w:hAnsi="Segoe UI" w:cs="Segoe UI"/>
      <w:sz w:val="18"/>
      <w:szCs w:val="18"/>
    </w:rPr>
  </w:style>
  <w:style w:type="paragraph" w:styleId="Style26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Style24"/>
    <w:pPr>
      <w:tabs>
        <w:tab w:val="clear" w:pos="708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Style28">
    <w:name w:val="Footer"/>
    <w:basedOn w:val="Style24"/>
    <w:pPr>
      <w:tabs>
        <w:tab w:val="clear" w:pos="708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Style29">
    <w:name w:val="Текст примечания"/>
    <w:basedOn w:val="Style24"/>
    <w:qFormat/>
    <w:pPr>
      <w:suppressAutoHyphens w:val="true"/>
    </w:pPr>
    <w:rPr>
      <w:sz w:val="20"/>
      <w:szCs w:val="20"/>
    </w:rPr>
  </w:style>
  <w:style w:type="paragraph" w:styleId="Style30">
    <w:name w:val="Тема примечания"/>
    <w:basedOn w:val="Style29"/>
    <w:next w:val="Style29"/>
    <w:qFormat/>
    <w:pPr>
      <w:suppressAutoHyphens w:val="true"/>
    </w:pPr>
    <w:rPr>
      <w:b/>
      <w:bCs/>
    </w:rPr>
  </w:style>
  <w:style w:type="paragraph" w:styleId="Style31">
    <w:name w:val="Содержимое таблицы"/>
    <w:basedOn w:val="Normal"/>
    <w:qFormat/>
    <w:pPr>
      <w:widowControl w:val="false"/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inobraz.egov66.ru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LibreOffice/7.0.3.1$Windows_X86_64 LibreOffice_project/d7547858d014d4cf69878db179d326fc3483e082</Application>
  <Pages>2</Pages>
  <Words>340</Words>
  <Characters>2408</Characters>
  <CharactersWithSpaces>2731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2022-03-16T04:17:00Z</dcterms:created>
  <dc:creator>Рузакова Лариса Валерьевна</dc:creator>
  <dc:description/>
  <dc:language>ru-RU</dc:language>
  <cp:lastModifiedBy/>
  <cp:lastPrinted>2021-02-20T08:16:00Z</cp:lastPrinted>
  <dcterms:modified xsi:type="dcterms:W3CDTF">2022-03-18T08:02:01Z</dcterms:modified>
  <cp:revision>4</cp:revision>
  <dc:subject/>
  <dc:title/>
</cp:coreProperties>
</file>